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ANNEX 9.1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 agencies identified in Annex 9 WITH policy, 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issuance, rules and/or regulations relevant to market competition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Competition Threshold Checklist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3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7860"/>
        <w:tblGridChange w:id="0">
          <w:tblGrid>
            <w:gridCol w:w="2160"/>
            <w:gridCol w:w="786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(1) Agency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(2) Reference Number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(3) Title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(4) Issuing Office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(5) Remarks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69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Upon conducting a Competition Impact Assessment (CIA), the &lt;Name of Agency&gt; has reviewed the abovementioned policy/issuance/rule/regulation. Below is the summary of the agency’s review.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"/>
        <w:gridCol w:w="3001"/>
        <w:gridCol w:w="1834"/>
        <w:gridCol w:w="1834"/>
        <w:gridCol w:w="1834"/>
        <w:tblGridChange w:id="0">
          <w:tblGrid>
            <w:gridCol w:w="631"/>
            <w:gridCol w:w="3001"/>
            <w:gridCol w:w="1834"/>
            <w:gridCol w:w="1834"/>
            <w:gridCol w:w="1834"/>
          </w:tblGrid>
        </w:tblGridChange>
      </w:tblGrid>
      <w:tr>
        <w:trPr>
          <w:cantSplit w:val="0"/>
          <w:trHeight w:val="26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100" w:before="100" w:lineRule="auto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 any affected market, would the regulation…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00" w:before="10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00" w:before="100" w:lineRule="auto"/>
              <w:ind w:right="-10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ind w:left="342" w:hanging="36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Directly or indirectly restrict the number or range of suppliers or buyers?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00" w:before="10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00" w:before="10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00" w:before="10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exclusively award rights to a supplier or buyer?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introduce procurement from a single supplier, or restricted group of suppliers?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9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introduce a fixed limit on the number of firms (quotas)?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269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restrict geographical access to goods and services?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5054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054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require license, permits, or authorization as a pre-condition to operation?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ability of suppliers to provide a good or service, or of buyers to purchase goods or services?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create higher costs of entry or exit for firms?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ind w:left="342" w:hanging="36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Restrict the ability or incentive of suppliers or buyers to compete?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00" w:before="1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00" w:before="1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00" w:before="10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extent to which prices are determined by market forces?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increase the scope for self-regulatory or co-regulatory regimes that negatively impact entry conditions or of the ability of firms to set prices and other market variables?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require the sharing or publication of information on firm output, volume, prices, sales, purchases, or costs?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provide for a competition exemption?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freedom of firms to advertise or market their goods or services?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set standards for product quality that are above the level that some well-informed customers would choose?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discretion for innovation?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ind w:left="342" w:hanging="36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Discriminate against certain agents?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00" w:before="1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00" w:before="1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00" w:before="10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introduce a discriminatory application of rules?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allow for the discretionary application of rules to market players?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introduce subsidies, incentives, policies, and access to limited resources that distorts the level playing field?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allow regulators to provide goods or services in competition with private players?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provide for a clear and effective access policy to essential facilities?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ind w:left="346" w:hanging="36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Limit choice or information available to consumers or producers?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or eliminate the consumers’ (producers’) choice of supplier (buyer)?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mobility of consumers (producers) across alternative suppliers (buyers)?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it limit the information available to producers or consumers?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  Does it mention the PhCC and its functions and or alter any of its powers, or functions?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4"/>
        <w:jc w:val="both"/>
        <w:rPr>
          <w:rFonts w:ascii="Arial" w:cs="Arial" w:eastAsia="Arial" w:hAnsi="Arial"/>
          <w:b w:val="1"/>
          <w:sz w:val="20"/>
          <w:szCs w:val="20"/>
        </w:rPr>
        <w:sectPr>
          <w:headerReference r:id="rId8" w:type="first"/>
          <w:footerReference r:id="rId9" w:type="default"/>
          <w:footerReference r:id="rId10" w:type="first"/>
          <w:footerReference r:id="rId11" w:type="even"/>
          <w:pgSz w:h="16838" w:w="11906" w:orient="portrait"/>
          <w:pgMar w:bottom="1440" w:top="1440" w:left="1440" w:right="144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Prepared by: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 of NCP Focal Person / Designation / Date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Approved by:</w:t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1440" w:top="1440" w:left="1440" w:right="1440" w:header="708" w:footer="708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Department Secretary/Agency Head / Date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7065"/>
        <w:tblGridChange w:id="0">
          <w:tblGrid>
            <w:gridCol w:w="1905"/>
            <w:gridCol w:w="7065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GUIDELINES IN ACCOMPLISHING</w:t>
            </w:r>
          </w:p>
          <w:p w:rsidR="00000000" w:rsidDel="00000000" w:rsidP="00000000" w:rsidRDefault="00000000" w:rsidRPr="00000000" w14:paraId="000000B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ANNEX 9.1 – REVISED COMPETITION THRESHOLD CHECKLIST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Row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name of the agency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Row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Rule="auto"/>
              <w:ind w:right="10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reference number and year of issuance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Row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Rule="auto"/>
              <w:ind w:right="-70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title or short title of policy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Row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Rule="auto"/>
              <w:ind w:right="-70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name of office/s that drafted the policy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Row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Rule="auto"/>
              <w:ind w:right="-70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relevant information such as under TRO, superseded,</w:t>
            </w:r>
          </w:p>
          <w:p w:rsidR="00000000" w:rsidDel="00000000" w:rsidP="00000000" w:rsidRDefault="00000000" w:rsidRPr="00000000" w14:paraId="000000C4">
            <w:pPr>
              <w:spacing w:after="0" w:before="0" w:lineRule="auto"/>
              <w:ind w:right="-70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unfunded, timebound, etc.</w:t>
            </w:r>
          </w:p>
        </w:tc>
      </w:tr>
    </w:tbl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1600584" cy="590932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584" cy="590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Based on the checklist under the OECD’s Competition Impact Assessment toolkit.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5731510" cy="103060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0306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029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21C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21CA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15FE6"/>
    <w:pPr>
      <w:tabs>
        <w:tab w:val="center" w:pos="4680"/>
        <w:tab w:val="right" w:pos="9360"/>
      </w:tabs>
    </w:pPr>
    <w:rPr>
      <w:rFonts w:asciiTheme="minorHAnsi" w:cstheme="minorBidi" w:hAnsiTheme="minorHAnsi"/>
      <w:sz w:val="22"/>
      <w:szCs w:val="22"/>
      <w:lang w:val="en-PH"/>
    </w:rPr>
  </w:style>
  <w:style w:type="character" w:styleId="HeaderChar" w:customStyle="1">
    <w:name w:val="Header Char"/>
    <w:basedOn w:val="DefaultParagraphFont"/>
    <w:link w:val="Header"/>
    <w:uiPriority w:val="99"/>
    <w:rsid w:val="00915FE6"/>
  </w:style>
  <w:style w:type="paragraph" w:styleId="Footer">
    <w:name w:val="footer"/>
    <w:basedOn w:val="Normal"/>
    <w:link w:val="FooterChar"/>
    <w:uiPriority w:val="99"/>
    <w:unhideWhenUsed w:val="1"/>
    <w:rsid w:val="00915FE6"/>
    <w:pPr>
      <w:tabs>
        <w:tab w:val="center" w:pos="4680"/>
        <w:tab w:val="right" w:pos="9360"/>
      </w:tabs>
    </w:pPr>
    <w:rPr>
      <w:rFonts w:asciiTheme="minorHAnsi" w:cstheme="minorBidi" w:hAnsiTheme="minorHAnsi"/>
      <w:sz w:val="22"/>
      <w:szCs w:val="22"/>
      <w:lang w:val="en-PH"/>
    </w:rPr>
  </w:style>
  <w:style w:type="character" w:styleId="FooterChar" w:customStyle="1">
    <w:name w:val="Footer Char"/>
    <w:basedOn w:val="DefaultParagraphFont"/>
    <w:link w:val="Footer"/>
    <w:uiPriority w:val="99"/>
    <w:rsid w:val="00915FE6"/>
  </w:style>
  <w:style w:type="paragraph" w:styleId="NormalWeb">
    <w:name w:val="Normal (Web)"/>
    <w:basedOn w:val="Normal"/>
    <w:uiPriority w:val="99"/>
    <w:unhideWhenUsed w:val="1"/>
    <w:rsid w:val="00FF3867"/>
    <w:pPr>
      <w:spacing w:after="100" w:afterAutospacing="1" w:before="100" w:beforeAutospacing="1"/>
    </w:pPr>
    <w:rPr>
      <w:lang w:val="en-PH"/>
    </w:rPr>
  </w:style>
  <w:style w:type="paragraph" w:styleId="ListParagraph">
    <w:name w:val="List Paragraph"/>
    <w:basedOn w:val="Normal"/>
    <w:link w:val="ListParagraphChar"/>
    <w:uiPriority w:val="34"/>
    <w:qFormat w:val="1"/>
    <w:rsid w:val="008051A3"/>
    <w:pPr>
      <w:autoSpaceDE w:val="0"/>
      <w:autoSpaceDN w:val="0"/>
      <w:adjustRightInd w:val="0"/>
      <w:ind w:left="720"/>
      <w:contextualSpacing w:val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 w:val="1"/>
    <w:rsid w:val="008051A3"/>
    <w:pPr>
      <w:autoSpaceDE w:val="0"/>
      <w:autoSpaceDN w:val="0"/>
      <w:adjustRightInd w:val="0"/>
    </w:pPr>
  </w:style>
  <w:style w:type="character" w:styleId="FootnoteTextChar" w:customStyle="1">
    <w:name w:val="Footnote Text Char"/>
    <w:basedOn w:val="DefaultParagraphFont"/>
    <w:link w:val="FootnoteText"/>
    <w:uiPriority w:val="99"/>
    <w:rsid w:val="008051A3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 w:val="1"/>
    <w:rsid w:val="008051A3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4C44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8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84445"/>
    <w:rPr>
      <w:rFonts w:ascii="Arial" w:cs="Arial" w:eastAsia="Arial" w:hAnsi="Arial"/>
      <w:sz w:val="20"/>
      <w:szCs w:val="20"/>
      <w:lang w:val="en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84445"/>
    <w:rPr>
      <w:rFonts w:ascii="Arial" w:cs="Arial" w:eastAsia="Arial" w:hAnsi="Arial"/>
      <w:sz w:val="20"/>
      <w:szCs w:val="20"/>
      <w:lang w:val="en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91930"/>
  </w:style>
  <w:style w:type="table" w:styleId="TableGrid">
    <w:name w:val="Table Grid"/>
    <w:basedOn w:val="TableNormal"/>
    <w:uiPriority w:val="59"/>
    <w:rsid w:val="002E52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4703D0"/>
  </w:style>
  <w:style w:type="character" w:styleId="Emphasis">
    <w:name w:val="Emphasis"/>
    <w:basedOn w:val="DefaultParagraphFont"/>
    <w:uiPriority w:val="20"/>
    <w:qFormat w:val="1"/>
    <w:rsid w:val="004B5776"/>
    <w:rPr>
      <w:i w:val="1"/>
      <w:iCs w:val="1"/>
    </w:rPr>
  </w:style>
  <w:style w:type="character" w:styleId="ListParagraphChar" w:customStyle="1">
    <w:name w:val="List Paragraph Char"/>
    <w:link w:val="ListParagraph"/>
    <w:uiPriority w:val="34"/>
    <w:locked w:val="1"/>
    <w:rsid w:val="00A767F1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NoSpacing">
    <w:name w:val="No Spacing"/>
    <w:uiPriority w:val="1"/>
    <w:qFormat w:val="1"/>
    <w:rsid w:val="00A767F1"/>
    <w:rPr>
      <w:rFonts w:eastAsiaTheme="minorEastAsia"/>
    </w:rPr>
  </w:style>
  <w:style w:type="character" w:styleId="Strong">
    <w:name w:val="Strong"/>
    <w:basedOn w:val="DefaultParagraphFont"/>
    <w:uiPriority w:val="22"/>
    <w:qFormat w:val="1"/>
    <w:rsid w:val="00451BDF"/>
    <w:rPr>
      <w:b w:val="1"/>
      <w:bCs w:val="1"/>
    </w:rPr>
  </w:style>
  <w:style w:type="paragraph" w:styleId="Revision">
    <w:name w:val="Revision"/>
    <w:hidden w:val="1"/>
    <w:uiPriority w:val="99"/>
    <w:semiHidden w:val="1"/>
    <w:rsid w:val="00AF1D4E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F1D4E"/>
    <w:rPr>
      <w:rFonts w:ascii="Times New Roman" w:cs="Times New Roman" w:hAnsi="Times New Roman" w:eastAsiaTheme="minorHAnsi"/>
      <w:b w:val="1"/>
      <w:bCs w:val="1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F1D4E"/>
    <w:rPr>
      <w:rFonts w:ascii="Times New Roman" w:cs="Times New Roman" w:eastAsia="Arial" w:hAnsi="Times New Roman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43z4Oi8dnc4YD1omXdcMIPh0g==">AMUW2mWWLczUzX8J1K3QNFxjsBipbnTC5GaX1+uVTePXzGg0121kMhgCSELBY2EQEJffCiuJ6wo/BLvUj5p6aT7aHNApmoGX4rMK+zXf3Akqzpc8yHxf9Oc=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Michael Lew C. Madrid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0x01010047083907AB30C143AF94A2804DEC05F5</vt:lpwstr>
  </property>
</Properties>
</file>