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CC" w:rsidRDefault="00E97900" w:rsidP="008C46CC">
      <w:pPr>
        <w:spacing w:after="0" w:line="240" w:lineRule="auto"/>
        <w:jc w:val="right"/>
        <w:rPr>
          <w:rFonts w:cs="Arial"/>
          <w:b/>
          <w:noProof/>
          <w:sz w:val="24"/>
          <w:szCs w:val="24"/>
          <w:lang w:eastAsia="en-PH"/>
        </w:rPr>
      </w:pPr>
      <w:r w:rsidRPr="00E1664D">
        <w:rPr>
          <w:rFonts w:cs="Arial"/>
          <w:b/>
          <w:noProof/>
          <w:sz w:val="24"/>
          <w:szCs w:val="24"/>
          <w:lang w:eastAsia="en-PH"/>
        </w:rPr>
        <w:t xml:space="preserve">ANNEX </w:t>
      </w:r>
      <w:r w:rsidR="00720F79">
        <w:rPr>
          <w:rFonts w:cs="Arial"/>
          <w:b/>
          <w:noProof/>
          <w:sz w:val="24"/>
          <w:szCs w:val="24"/>
          <w:lang w:eastAsia="en-PH"/>
        </w:rPr>
        <w:t>2</w:t>
      </w:r>
    </w:p>
    <w:p w:rsidR="00E97900" w:rsidRPr="00C1281C" w:rsidRDefault="00E97900" w:rsidP="008C46CC">
      <w:pPr>
        <w:spacing w:after="0" w:line="240" w:lineRule="auto"/>
        <w:jc w:val="center"/>
        <w:rPr>
          <w:b/>
          <w:noProof/>
          <w:lang w:eastAsia="en-PH"/>
        </w:rPr>
      </w:pPr>
      <w:r w:rsidRPr="00C1281C">
        <w:rPr>
          <w:b/>
          <w:noProof/>
          <w:lang w:eastAsia="en-PH"/>
        </w:rPr>
        <w:t>FORM A</w:t>
      </w:r>
    </w:p>
    <w:p w:rsidR="00E97900" w:rsidRPr="00C1281C" w:rsidRDefault="004C5108" w:rsidP="008C46CC">
      <w:pPr>
        <w:pStyle w:val="NoSpacing"/>
        <w:jc w:val="center"/>
      </w:pPr>
      <w:r w:rsidRPr="00C1281C">
        <w:rPr>
          <w:b/>
          <w:noProof/>
          <w:lang w:eastAsia="en-PH"/>
        </w:rPr>
        <w:t>DEPARTMENT</w:t>
      </w:r>
      <w:r w:rsidR="007C0F4F" w:rsidRPr="00C1281C">
        <w:rPr>
          <w:b/>
          <w:noProof/>
          <w:lang w:eastAsia="en-PH"/>
        </w:rPr>
        <w:t>/AGENCY</w:t>
      </w:r>
      <w:r w:rsidR="00E97900" w:rsidRPr="00C1281C">
        <w:rPr>
          <w:b/>
          <w:noProof/>
          <w:lang w:eastAsia="en-PH"/>
        </w:rPr>
        <w:t xml:space="preserve"> PERFORMANCE ACCOMPLISHMENT</w:t>
      </w:r>
      <w:r w:rsidR="00292C81">
        <w:rPr>
          <w:b/>
          <w:noProof/>
          <w:lang w:eastAsia="en-PH"/>
        </w:rPr>
        <w:t xml:space="preserve"> </w:t>
      </w:r>
      <w:r w:rsidR="00A66D05" w:rsidRPr="00292C81">
        <w:rPr>
          <w:b/>
        </w:rPr>
        <w:t>FY 201</w:t>
      </w:r>
      <w:r w:rsidR="000F161F" w:rsidRPr="00292C81">
        <w:rPr>
          <w:b/>
        </w:rPr>
        <w:t>7</w:t>
      </w:r>
    </w:p>
    <w:p w:rsidR="00E97900" w:rsidRPr="006662E9" w:rsidRDefault="00E97900" w:rsidP="008C46CC">
      <w:pPr>
        <w:spacing w:after="0" w:line="240" w:lineRule="auto"/>
        <w:rPr>
          <w:b/>
          <w:sz w:val="28"/>
          <w:szCs w:val="18"/>
        </w:rPr>
      </w:pPr>
      <w:r w:rsidRPr="006662E9">
        <w:rPr>
          <w:b/>
          <w:sz w:val="28"/>
          <w:szCs w:val="18"/>
        </w:rPr>
        <w:t>DEPARTMENT</w:t>
      </w:r>
      <w:r w:rsidR="005951BC" w:rsidRPr="006662E9">
        <w:rPr>
          <w:b/>
          <w:sz w:val="28"/>
          <w:szCs w:val="18"/>
        </w:rPr>
        <w:t>/AGENCY</w:t>
      </w:r>
      <w:r w:rsidRPr="006662E9">
        <w:rPr>
          <w:b/>
          <w:sz w:val="28"/>
          <w:szCs w:val="18"/>
        </w:rPr>
        <w:t xml:space="preserve">: </w:t>
      </w:r>
      <w:r w:rsidR="00B46C6D">
        <w:rPr>
          <w:b/>
          <w:sz w:val="28"/>
          <w:szCs w:val="18"/>
        </w:rPr>
        <w:t>_____________________</w:t>
      </w:r>
    </w:p>
    <w:tbl>
      <w:tblPr>
        <w:tblStyle w:val="TableGrid"/>
        <w:tblW w:w="13230" w:type="dxa"/>
        <w:tblInd w:w="108" w:type="dxa"/>
        <w:tblLayout w:type="fixed"/>
        <w:tblLook w:val="04A0" w:firstRow="1" w:lastRow="0" w:firstColumn="1" w:lastColumn="0" w:noHBand="0" w:noVBand="1"/>
      </w:tblPr>
      <w:tblGrid>
        <w:gridCol w:w="2430"/>
        <w:gridCol w:w="38"/>
        <w:gridCol w:w="2122"/>
        <w:gridCol w:w="1350"/>
        <w:gridCol w:w="1620"/>
        <w:gridCol w:w="2070"/>
        <w:gridCol w:w="1800"/>
        <w:gridCol w:w="1800"/>
      </w:tblGrid>
      <w:tr w:rsidR="00707C8B" w:rsidRPr="00B46C6D" w:rsidTr="007C0F4F">
        <w:tc>
          <w:tcPr>
            <w:tcW w:w="2468" w:type="dxa"/>
            <w:gridSpan w:val="2"/>
            <w:vAlign w:val="center"/>
          </w:tcPr>
          <w:p w:rsidR="00707C8B" w:rsidRPr="00B46C6D" w:rsidRDefault="00707C8B" w:rsidP="00933088">
            <w:pPr>
              <w:jc w:val="center"/>
              <w:rPr>
                <w:rFonts w:cs="Arial"/>
                <w:sz w:val="16"/>
                <w:szCs w:val="16"/>
              </w:rPr>
            </w:pPr>
            <w:r w:rsidRPr="00933088">
              <w:rPr>
                <w:rFonts w:cs="Arial"/>
                <w:b/>
                <w:sz w:val="20"/>
                <w:szCs w:val="16"/>
              </w:rPr>
              <w:t>MFOs AND PERFORMANCE INDICATORS</w:t>
            </w:r>
            <w:r w:rsidRPr="00933088">
              <w:rPr>
                <w:rFonts w:cs="Arial"/>
                <w:sz w:val="20"/>
                <w:szCs w:val="16"/>
                <w:vertAlign w:val="superscript"/>
              </w:rPr>
              <w:t>(1)</w:t>
            </w:r>
          </w:p>
        </w:tc>
        <w:tc>
          <w:tcPr>
            <w:tcW w:w="2122" w:type="dxa"/>
            <w:vAlign w:val="center"/>
          </w:tcPr>
          <w:p w:rsidR="00707C8B" w:rsidRPr="00B46C6D" w:rsidRDefault="00707C8B" w:rsidP="00E97900">
            <w:pPr>
              <w:jc w:val="center"/>
              <w:rPr>
                <w:rFonts w:cs="Arial"/>
                <w:b/>
                <w:sz w:val="16"/>
                <w:szCs w:val="16"/>
              </w:rPr>
            </w:pPr>
            <w:r w:rsidRPr="00B46C6D">
              <w:rPr>
                <w:rFonts w:cs="Arial"/>
                <w:b/>
                <w:sz w:val="16"/>
                <w:szCs w:val="16"/>
              </w:rPr>
              <w:t>DEPARTMENT</w:t>
            </w:r>
            <w:r w:rsidR="007C0F4F" w:rsidRPr="00B46C6D">
              <w:rPr>
                <w:rFonts w:cs="Arial"/>
                <w:b/>
                <w:sz w:val="16"/>
                <w:szCs w:val="16"/>
              </w:rPr>
              <w:t>/AGENCY</w:t>
            </w:r>
            <w:r w:rsidRPr="00B46C6D">
              <w:rPr>
                <w:rFonts w:cs="Arial"/>
                <w:b/>
                <w:sz w:val="16"/>
                <w:szCs w:val="16"/>
              </w:rPr>
              <w:t xml:space="preserve"> FY 201</w:t>
            </w:r>
            <w:r w:rsidR="000F161F" w:rsidRPr="00B46C6D">
              <w:rPr>
                <w:rFonts w:cs="Arial"/>
                <w:b/>
                <w:sz w:val="16"/>
                <w:szCs w:val="16"/>
              </w:rPr>
              <w:t>6</w:t>
            </w:r>
            <w:r w:rsidRPr="00B46C6D">
              <w:rPr>
                <w:rFonts w:cs="Arial"/>
                <w:b/>
                <w:sz w:val="16"/>
                <w:szCs w:val="16"/>
              </w:rPr>
              <w:t xml:space="preserve"> ACTUAL ACCOMPLISHMENT</w:t>
            </w:r>
            <w:r w:rsidR="00F3721A" w:rsidRPr="00B46C6D">
              <w:rPr>
                <w:rFonts w:cs="Arial"/>
                <w:b/>
                <w:sz w:val="16"/>
                <w:szCs w:val="16"/>
              </w:rPr>
              <w:t xml:space="preserve"> </w:t>
            </w:r>
          </w:p>
          <w:p w:rsidR="00707C8B" w:rsidRPr="00B46C6D" w:rsidRDefault="00707C8B" w:rsidP="00186848">
            <w:pPr>
              <w:jc w:val="center"/>
              <w:rPr>
                <w:rFonts w:cs="Arial"/>
                <w:sz w:val="16"/>
                <w:szCs w:val="16"/>
              </w:rPr>
            </w:pPr>
          </w:p>
        </w:tc>
        <w:tc>
          <w:tcPr>
            <w:tcW w:w="1350" w:type="dxa"/>
            <w:vAlign w:val="center"/>
          </w:tcPr>
          <w:p w:rsidR="007C0F4F" w:rsidRPr="00B46C6D" w:rsidRDefault="007C0F4F" w:rsidP="00E97900">
            <w:pPr>
              <w:jc w:val="center"/>
              <w:rPr>
                <w:rFonts w:cs="Arial"/>
                <w:b/>
                <w:sz w:val="16"/>
                <w:szCs w:val="16"/>
              </w:rPr>
            </w:pPr>
            <w:r w:rsidRPr="00B46C6D">
              <w:rPr>
                <w:rFonts w:cs="Arial"/>
                <w:b/>
                <w:sz w:val="16"/>
                <w:szCs w:val="16"/>
              </w:rPr>
              <w:t>DEPARTMENT/</w:t>
            </w:r>
            <w:r w:rsidR="00B46C6D">
              <w:rPr>
                <w:rFonts w:cs="Arial"/>
                <w:b/>
                <w:sz w:val="16"/>
                <w:szCs w:val="16"/>
              </w:rPr>
              <w:t xml:space="preserve"> </w:t>
            </w:r>
            <w:r w:rsidRPr="00B46C6D">
              <w:rPr>
                <w:rFonts w:cs="Arial"/>
                <w:b/>
                <w:sz w:val="16"/>
                <w:szCs w:val="16"/>
              </w:rPr>
              <w:t>AGENCY</w:t>
            </w:r>
          </w:p>
          <w:p w:rsidR="00707C8B" w:rsidRPr="00B46C6D" w:rsidRDefault="007C0F4F" w:rsidP="00E97900">
            <w:pPr>
              <w:jc w:val="center"/>
              <w:rPr>
                <w:rFonts w:cs="Arial"/>
                <w:b/>
                <w:sz w:val="16"/>
                <w:szCs w:val="16"/>
              </w:rPr>
            </w:pPr>
            <w:r w:rsidRPr="00B46C6D">
              <w:rPr>
                <w:rFonts w:cs="Arial"/>
                <w:b/>
                <w:sz w:val="16"/>
                <w:szCs w:val="16"/>
              </w:rPr>
              <w:t xml:space="preserve"> </w:t>
            </w:r>
            <w:r w:rsidR="00707C8B" w:rsidRPr="00B46C6D">
              <w:rPr>
                <w:rFonts w:cs="Arial"/>
                <w:b/>
                <w:sz w:val="16"/>
                <w:szCs w:val="16"/>
              </w:rPr>
              <w:t>FY 201</w:t>
            </w:r>
            <w:r w:rsidR="000F161F" w:rsidRPr="00B46C6D">
              <w:rPr>
                <w:rFonts w:cs="Arial"/>
                <w:b/>
                <w:sz w:val="16"/>
                <w:szCs w:val="16"/>
              </w:rPr>
              <w:t>7</w:t>
            </w:r>
            <w:r w:rsidR="00707C8B" w:rsidRPr="00B46C6D">
              <w:rPr>
                <w:rFonts w:cs="Arial"/>
                <w:b/>
                <w:sz w:val="16"/>
                <w:szCs w:val="16"/>
              </w:rPr>
              <w:t xml:space="preserve"> TARGET</w:t>
            </w:r>
          </w:p>
          <w:p w:rsidR="00707C8B" w:rsidRPr="00B46C6D" w:rsidRDefault="00707C8B" w:rsidP="00186848">
            <w:pPr>
              <w:jc w:val="center"/>
              <w:rPr>
                <w:rFonts w:cs="Arial"/>
                <w:sz w:val="16"/>
                <w:szCs w:val="16"/>
              </w:rPr>
            </w:pPr>
          </w:p>
        </w:tc>
        <w:tc>
          <w:tcPr>
            <w:tcW w:w="1620" w:type="dxa"/>
            <w:vAlign w:val="center"/>
          </w:tcPr>
          <w:p w:rsidR="00735778" w:rsidRPr="00B46C6D" w:rsidRDefault="00707C8B" w:rsidP="006662E9">
            <w:pPr>
              <w:jc w:val="center"/>
              <w:rPr>
                <w:rFonts w:cs="Arial"/>
                <w:b/>
                <w:sz w:val="16"/>
                <w:szCs w:val="16"/>
              </w:rPr>
            </w:pPr>
            <w:r w:rsidRPr="00B46C6D">
              <w:rPr>
                <w:rFonts w:cs="Arial"/>
                <w:b/>
                <w:sz w:val="16"/>
                <w:szCs w:val="16"/>
              </w:rPr>
              <w:t>RESPONSIBLE BUREAUS/</w:t>
            </w:r>
          </w:p>
          <w:p w:rsidR="00707C8B" w:rsidRPr="00B46C6D" w:rsidRDefault="00707C8B" w:rsidP="006662E9">
            <w:pPr>
              <w:jc w:val="center"/>
              <w:rPr>
                <w:rFonts w:cs="Arial"/>
                <w:sz w:val="16"/>
                <w:szCs w:val="16"/>
              </w:rPr>
            </w:pPr>
            <w:r w:rsidRPr="00B46C6D">
              <w:rPr>
                <w:rFonts w:cs="Arial"/>
                <w:b/>
                <w:sz w:val="16"/>
                <w:szCs w:val="16"/>
              </w:rPr>
              <w:t>OFFICES</w:t>
            </w:r>
            <w:r w:rsidR="00F3721A" w:rsidRPr="00B46C6D">
              <w:rPr>
                <w:rFonts w:cs="Arial"/>
                <w:b/>
                <w:sz w:val="16"/>
                <w:szCs w:val="16"/>
              </w:rPr>
              <w:t xml:space="preserve"> </w:t>
            </w:r>
          </w:p>
        </w:tc>
        <w:tc>
          <w:tcPr>
            <w:tcW w:w="2070" w:type="dxa"/>
            <w:vAlign w:val="center"/>
          </w:tcPr>
          <w:p w:rsidR="007C0F4F" w:rsidRPr="00B46C6D" w:rsidRDefault="007C0F4F" w:rsidP="006662E9">
            <w:pPr>
              <w:jc w:val="center"/>
              <w:rPr>
                <w:rFonts w:cs="Arial"/>
                <w:b/>
                <w:sz w:val="16"/>
                <w:szCs w:val="16"/>
              </w:rPr>
            </w:pPr>
            <w:r w:rsidRPr="00B46C6D">
              <w:rPr>
                <w:rFonts w:cs="Arial"/>
                <w:b/>
                <w:sz w:val="16"/>
                <w:szCs w:val="16"/>
              </w:rPr>
              <w:t xml:space="preserve">DEPARTMENT/AGENCY </w:t>
            </w:r>
          </w:p>
          <w:p w:rsidR="00707C8B" w:rsidRPr="00B46C6D" w:rsidRDefault="00707C8B" w:rsidP="000F161F">
            <w:pPr>
              <w:jc w:val="center"/>
              <w:rPr>
                <w:rFonts w:cs="Arial"/>
                <w:sz w:val="16"/>
                <w:szCs w:val="16"/>
              </w:rPr>
            </w:pPr>
            <w:r w:rsidRPr="00B46C6D">
              <w:rPr>
                <w:rFonts w:cs="Arial"/>
                <w:b/>
                <w:sz w:val="16"/>
                <w:szCs w:val="16"/>
              </w:rPr>
              <w:t>FY 201</w:t>
            </w:r>
            <w:r w:rsidR="000F161F" w:rsidRPr="00B46C6D">
              <w:rPr>
                <w:rFonts w:cs="Arial"/>
                <w:b/>
                <w:sz w:val="16"/>
                <w:szCs w:val="16"/>
              </w:rPr>
              <w:t>7</w:t>
            </w:r>
            <w:r w:rsidRPr="00B46C6D">
              <w:rPr>
                <w:rFonts w:cs="Arial"/>
                <w:b/>
                <w:sz w:val="16"/>
                <w:szCs w:val="16"/>
              </w:rPr>
              <w:t xml:space="preserve"> ACTUAL ACCOMPLISHMENT</w:t>
            </w:r>
            <w:r w:rsidR="00F3721A" w:rsidRPr="00B46C6D">
              <w:rPr>
                <w:rFonts w:cs="Arial"/>
                <w:b/>
                <w:sz w:val="16"/>
                <w:szCs w:val="16"/>
              </w:rPr>
              <w:t xml:space="preserve"> </w:t>
            </w:r>
          </w:p>
        </w:tc>
        <w:tc>
          <w:tcPr>
            <w:tcW w:w="1800" w:type="dxa"/>
          </w:tcPr>
          <w:p w:rsidR="007C0F4F" w:rsidRPr="00B46C6D" w:rsidRDefault="007C0F4F" w:rsidP="00707C8B">
            <w:pPr>
              <w:jc w:val="center"/>
              <w:rPr>
                <w:rFonts w:cs="Arial"/>
                <w:b/>
                <w:sz w:val="16"/>
                <w:szCs w:val="16"/>
              </w:rPr>
            </w:pPr>
          </w:p>
          <w:p w:rsidR="00707C8B" w:rsidRPr="00B46C6D" w:rsidRDefault="00707C8B" w:rsidP="00707C8B">
            <w:pPr>
              <w:jc w:val="center"/>
              <w:rPr>
                <w:rFonts w:cs="Arial"/>
                <w:b/>
                <w:sz w:val="16"/>
                <w:szCs w:val="16"/>
              </w:rPr>
            </w:pPr>
            <w:r w:rsidRPr="00B46C6D">
              <w:rPr>
                <w:rFonts w:cs="Arial"/>
                <w:b/>
                <w:sz w:val="16"/>
                <w:szCs w:val="16"/>
              </w:rPr>
              <w:t>ACCOMPLISHMENT RATE</w:t>
            </w:r>
          </w:p>
          <w:p w:rsidR="00707C8B" w:rsidRPr="00B46C6D" w:rsidRDefault="00707C8B" w:rsidP="00186848">
            <w:pPr>
              <w:jc w:val="center"/>
              <w:rPr>
                <w:rFonts w:cs="Arial"/>
                <w:sz w:val="16"/>
                <w:szCs w:val="16"/>
              </w:rPr>
            </w:pPr>
          </w:p>
        </w:tc>
        <w:tc>
          <w:tcPr>
            <w:tcW w:w="1800" w:type="dxa"/>
            <w:vAlign w:val="center"/>
          </w:tcPr>
          <w:p w:rsidR="00707C8B" w:rsidRPr="00B46C6D" w:rsidRDefault="00707C8B" w:rsidP="00E97900">
            <w:pPr>
              <w:jc w:val="center"/>
              <w:rPr>
                <w:rFonts w:cs="Arial"/>
                <w:b/>
                <w:sz w:val="16"/>
                <w:szCs w:val="16"/>
              </w:rPr>
            </w:pPr>
            <w:r w:rsidRPr="00B46C6D">
              <w:rPr>
                <w:rFonts w:cs="Arial"/>
                <w:b/>
                <w:sz w:val="16"/>
                <w:szCs w:val="16"/>
              </w:rPr>
              <w:t>REMARKS</w:t>
            </w:r>
          </w:p>
          <w:p w:rsidR="00707C8B" w:rsidRPr="00B46C6D" w:rsidRDefault="00F3721A" w:rsidP="006662E9">
            <w:pPr>
              <w:jc w:val="center"/>
              <w:rPr>
                <w:rFonts w:cs="Arial"/>
                <w:sz w:val="16"/>
                <w:szCs w:val="16"/>
              </w:rPr>
            </w:pPr>
            <w:r w:rsidRPr="00B46C6D">
              <w:rPr>
                <w:rFonts w:cs="Arial"/>
                <w:sz w:val="16"/>
                <w:szCs w:val="16"/>
              </w:rPr>
              <w:t>(</w:t>
            </w:r>
            <w:r w:rsidR="006662E9" w:rsidRPr="00B46C6D">
              <w:rPr>
                <w:rFonts w:cs="Arial"/>
                <w:sz w:val="16"/>
                <w:szCs w:val="16"/>
              </w:rPr>
              <w:t>4</w:t>
            </w:r>
            <w:r w:rsidRPr="00B46C6D">
              <w:rPr>
                <w:rFonts w:cs="Arial"/>
                <w:sz w:val="16"/>
                <w:szCs w:val="16"/>
              </w:rPr>
              <w:t>)</w:t>
            </w:r>
          </w:p>
        </w:tc>
      </w:tr>
      <w:tr w:rsidR="00707C8B" w:rsidRPr="00B46C6D" w:rsidTr="00B46C6D">
        <w:trPr>
          <w:trHeight w:val="260"/>
        </w:trPr>
        <w:tc>
          <w:tcPr>
            <w:tcW w:w="13230" w:type="dxa"/>
            <w:gridSpan w:val="8"/>
          </w:tcPr>
          <w:p w:rsidR="00707C8B" w:rsidRPr="00B46C6D" w:rsidRDefault="00707C8B" w:rsidP="00E10413">
            <w:pPr>
              <w:rPr>
                <w:b/>
              </w:rPr>
            </w:pPr>
            <w:r w:rsidRPr="00B46C6D">
              <w:rPr>
                <w:b/>
              </w:rPr>
              <w:t>Major Final Outputs (MFOs) / Operations</w:t>
            </w:r>
          </w:p>
        </w:tc>
      </w:tr>
      <w:tr w:rsidR="00707C8B" w:rsidRPr="00B46C6D" w:rsidTr="00EA7998">
        <w:trPr>
          <w:trHeight w:val="431"/>
        </w:trPr>
        <w:tc>
          <w:tcPr>
            <w:tcW w:w="13230" w:type="dxa"/>
            <w:gridSpan w:val="8"/>
          </w:tcPr>
          <w:p w:rsidR="00707C8B" w:rsidRPr="00B46C6D" w:rsidRDefault="00707C8B" w:rsidP="008E3136">
            <w:pPr>
              <w:rPr>
                <w:b/>
              </w:rPr>
            </w:pPr>
            <w:r w:rsidRPr="00B46C6D">
              <w:rPr>
                <w:b/>
              </w:rPr>
              <w:t xml:space="preserve">MFO 1: </w:t>
            </w:r>
          </w:p>
        </w:tc>
      </w:tr>
      <w:tr w:rsidR="00707C8B" w:rsidRPr="00B46C6D" w:rsidTr="00B46C6D">
        <w:trPr>
          <w:trHeight w:val="350"/>
        </w:trPr>
        <w:tc>
          <w:tcPr>
            <w:tcW w:w="13230" w:type="dxa"/>
            <w:gridSpan w:val="8"/>
          </w:tcPr>
          <w:p w:rsidR="00707C8B" w:rsidRPr="00B46C6D" w:rsidRDefault="00707C8B" w:rsidP="000F161F">
            <w:pPr>
              <w:rPr>
                <w:b/>
              </w:rPr>
            </w:pPr>
            <w:r w:rsidRPr="00B46C6D">
              <w:rPr>
                <w:b/>
              </w:rPr>
              <w:t>201</w:t>
            </w:r>
            <w:r w:rsidR="000F161F" w:rsidRPr="00B46C6D">
              <w:rPr>
                <w:b/>
              </w:rPr>
              <w:t>7</w:t>
            </w:r>
            <w:r w:rsidRPr="00B46C6D">
              <w:rPr>
                <w:b/>
              </w:rPr>
              <w:t xml:space="preserve"> Budget: </w:t>
            </w:r>
          </w:p>
        </w:tc>
      </w:tr>
      <w:tr w:rsidR="00707C8B" w:rsidRPr="00B46C6D" w:rsidTr="007C0F4F">
        <w:trPr>
          <w:trHeight w:val="440"/>
        </w:trPr>
        <w:tc>
          <w:tcPr>
            <w:tcW w:w="2468" w:type="dxa"/>
            <w:gridSpan w:val="2"/>
          </w:tcPr>
          <w:p w:rsidR="00707C8B" w:rsidRPr="00B46C6D" w:rsidRDefault="00707C8B" w:rsidP="008E3136">
            <w:pPr>
              <w:rPr>
                <w:b/>
              </w:rPr>
            </w:pPr>
            <w:r w:rsidRPr="00B46C6D">
              <w:t>P</w:t>
            </w:r>
            <w:r w:rsidR="008E3136" w:rsidRPr="00B46C6D">
              <w:t xml:space="preserve">erformance Indicator </w:t>
            </w:r>
            <w:r w:rsidRPr="00B46C6D">
              <w:t xml:space="preserve">1: </w:t>
            </w:r>
          </w:p>
        </w:tc>
        <w:tc>
          <w:tcPr>
            <w:tcW w:w="2122" w:type="dxa"/>
          </w:tcPr>
          <w:p w:rsidR="00707C8B" w:rsidRPr="00B46C6D" w:rsidRDefault="00707C8B" w:rsidP="00E97900">
            <w:pPr>
              <w:rPr>
                <w:b/>
              </w:rPr>
            </w:pPr>
          </w:p>
        </w:tc>
        <w:tc>
          <w:tcPr>
            <w:tcW w:w="1350" w:type="dxa"/>
            <w:vAlign w:val="center"/>
          </w:tcPr>
          <w:p w:rsidR="00707C8B" w:rsidRPr="00B46C6D" w:rsidRDefault="00707C8B" w:rsidP="00F17E01">
            <w:pPr>
              <w:jc w:val="center"/>
              <w:rPr>
                <w:b/>
              </w:rPr>
            </w:pPr>
          </w:p>
        </w:tc>
        <w:tc>
          <w:tcPr>
            <w:tcW w:w="1620" w:type="dxa"/>
          </w:tcPr>
          <w:p w:rsidR="00707C8B" w:rsidRPr="00B46C6D" w:rsidRDefault="00707C8B" w:rsidP="00E97900">
            <w:pPr>
              <w:rPr>
                <w:b/>
              </w:rPr>
            </w:pPr>
          </w:p>
        </w:tc>
        <w:tc>
          <w:tcPr>
            <w:tcW w:w="2070" w:type="dxa"/>
          </w:tcPr>
          <w:p w:rsidR="00707C8B" w:rsidRPr="00B46C6D" w:rsidRDefault="00707C8B" w:rsidP="00E97900">
            <w:pPr>
              <w:rPr>
                <w:b/>
              </w:rPr>
            </w:pPr>
          </w:p>
        </w:tc>
        <w:tc>
          <w:tcPr>
            <w:tcW w:w="1800" w:type="dxa"/>
          </w:tcPr>
          <w:p w:rsidR="00707C8B" w:rsidRPr="00B46C6D" w:rsidRDefault="00707C8B" w:rsidP="00E97900">
            <w:pPr>
              <w:rPr>
                <w:b/>
              </w:rPr>
            </w:pPr>
          </w:p>
        </w:tc>
        <w:tc>
          <w:tcPr>
            <w:tcW w:w="1800" w:type="dxa"/>
          </w:tcPr>
          <w:p w:rsidR="00707C8B" w:rsidRPr="00B46C6D" w:rsidRDefault="00707C8B" w:rsidP="00E97900">
            <w:pPr>
              <w:rPr>
                <w:b/>
              </w:rPr>
            </w:pPr>
          </w:p>
        </w:tc>
      </w:tr>
      <w:tr w:rsidR="00707C8B" w:rsidRPr="00B46C6D" w:rsidTr="007C0F4F">
        <w:trPr>
          <w:trHeight w:val="449"/>
        </w:trPr>
        <w:tc>
          <w:tcPr>
            <w:tcW w:w="2468" w:type="dxa"/>
            <w:gridSpan w:val="2"/>
          </w:tcPr>
          <w:p w:rsidR="00707C8B" w:rsidRPr="00B46C6D" w:rsidRDefault="008E3136" w:rsidP="008E3136">
            <w:pPr>
              <w:rPr>
                <w:color w:val="FF0000"/>
              </w:rPr>
            </w:pPr>
            <w:r w:rsidRPr="00B46C6D">
              <w:t>Performance Indicator 2:</w:t>
            </w:r>
          </w:p>
        </w:tc>
        <w:tc>
          <w:tcPr>
            <w:tcW w:w="2122" w:type="dxa"/>
          </w:tcPr>
          <w:p w:rsidR="00707C8B" w:rsidRPr="00B46C6D" w:rsidRDefault="00707C8B" w:rsidP="00E97900">
            <w:pPr>
              <w:rPr>
                <w:b/>
                <w:vertAlign w:val="superscript"/>
              </w:rPr>
            </w:pPr>
          </w:p>
        </w:tc>
        <w:tc>
          <w:tcPr>
            <w:tcW w:w="1350" w:type="dxa"/>
            <w:vAlign w:val="center"/>
          </w:tcPr>
          <w:p w:rsidR="00707C8B" w:rsidRPr="00B46C6D" w:rsidRDefault="00707C8B" w:rsidP="00F17E01">
            <w:pPr>
              <w:jc w:val="center"/>
              <w:rPr>
                <w:b/>
              </w:rPr>
            </w:pPr>
          </w:p>
        </w:tc>
        <w:tc>
          <w:tcPr>
            <w:tcW w:w="1620" w:type="dxa"/>
          </w:tcPr>
          <w:p w:rsidR="00707C8B" w:rsidRPr="00B46C6D" w:rsidRDefault="00707C8B" w:rsidP="00E97900">
            <w:pPr>
              <w:rPr>
                <w:b/>
                <w:vertAlign w:val="superscript"/>
              </w:rPr>
            </w:pPr>
          </w:p>
        </w:tc>
        <w:tc>
          <w:tcPr>
            <w:tcW w:w="2070" w:type="dxa"/>
          </w:tcPr>
          <w:p w:rsidR="00707C8B" w:rsidRPr="00B46C6D" w:rsidRDefault="00707C8B" w:rsidP="00E97900">
            <w:pPr>
              <w:rPr>
                <w:b/>
                <w:vertAlign w:val="superscript"/>
              </w:rPr>
            </w:pPr>
          </w:p>
        </w:tc>
        <w:tc>
          <w:tcPr>
            <w:tcW w:w="1800" w:type="dxa"/>
          </w:tcPr>
          <w:p w:rsidR="00707C8B" w:rsidRPr="00B46C6D" w:rsidRDefault="00707C8B" w:rsidP="00E97900">
            <w:pPr>
              <w:rPr>
                <w:b/>
                <w:vertAlign w:val="superscript"/>
              </w:rPr>
            </w:pPr>
          </w:p>
        </w:tc>
        <w:tc>
          <w:tcPr>
            <w:tcW w:w="1800" w:type="dxa"/>
          </w:tcPr>
          <w:p w:rsidR="00707C8B" w:rsidRPr="00B46C6D" w:rsidRDefault="00707C8B" w:rsidP="00E97900">
            <w:pPr>
              <w:rPr>
                <w:b/>
                <w:vertAlign w:val="superscript"/>
              </w:rPr>
            </w:pPr>
          </w:p>
        </w:tc>
      </w:tr>
      <w:tr w:rsidR="00707C8B" w:rsidRPr="00B46C6D" w:rsidTr="007C0F4F">
        <w:trPr>
          <w:trHeight w:val="440"/>
        </w:trPr>
        <w:tc>
          <w:tcPr>
            <w:tcW w:w="2468" w:type="dxa"/>
            <w:gridSpan w:val="2"/>
          </w:tcPr>
          <w:p w:rsidR="00707C8B" w:rsidRPr="00B46C6D" w:rsidRDefault="008E3136" w:rsidP="00BA024C">
            <w:pPr>
              <w:rPr>
                <w:color w:val="FF0000"/>
              </w:rPr>
            </w:pPr>
            <w:r w:rsidRPr="00B46C6D">
              <w:t xml:space="preserve">Performance Indicator </w:t>
            </w:r>
            <w:r w:rsidR="00BA024C" w:rsidRPr="00B46C6D">
              <w:t>3</w:t>
            </w:r>
            <w:r w:rsidRPr="00B46C6D">
              <w:t>:</w:t>
            </w:r>
          </w:p>
        </w:tc>
        <w:tc>
          <w:tcPr>
            <w:tcW w:w="2122" w:type="dxa"/>
          </w:tcPr>
          <w:p w:rsidR="00707C8B" w:rsidRPr="00B46C6D" w:rsidRDefault="00707C8B" w:rsidP="00E97900">
            <w:pPr>
              <w:rPr>
                <w:b/>
                <w:vertAlign w:val="superscript"/>
              </w:rPr>
            </w:pPr>
          </w:p>
        </w:tc>
        <w:tc>
          <w:tcPr>
            <w:tcW w:w="1350" w:type="dxa"/>
            <w:vAlign w:val="center"/>
          </w:tcPr>
          <w:p w:rsidR="00707C8B" w:rsidRPr="00B46C6D" w:rsidRDefault="00707C8B" w:rsidP="00F17E01">
            <w:pPr>
              <w:jc w:val="center"/>
              <w:rPr>
                <w:b/>
              </w:rPr>
            </w:pPr>
          </w:p>
        </w:tc>
        <w:tc>
          <w:tcPr>
            <w:tcW w:w="1620" w:type="dxa"/>
          </w:tcPr>
          <w:p w:rsidR="00707C8B" w:rsidRPr="00B46C6D" w:rsidRDefault="00707C8B" w:rsidP="00E97900">
            <w:pPr>
              <w:rPr>
                <w:b/>
                <w:vertAlign w:val="superscript"/>
              </w:rPr>
            </w:pPr>
          </w:p>
        </w:tc>
        <w:tc>
          <w:tcPr>
            <w:tcW w:w="2070" w:type="dxa"/>
          </w:tcPr>
          <w:p w:rsidR="00707C8B" w:rsidRPr="00B46C6D" w:rsidRDefault="00707C8B" w:rsidP="00E97900">
            <w:pPr>
              <w:rPr>
                <w:b/>
                <w:vertAlign w:val="superscript"/>
              </w:rPr>
            </w:pPr>
          </w:p>
        </w:tc>
        <w:tc>
          <w:tcPr>
            <w:tcW w:w="1800" w:type="dxa"/>
          </w:tcPr>
          <w:p w:rsidR="00707C8B" w:rsidRPr="00B46C6D" w:rsidRDefault="00707C8B" w:rsidP="00E97900">
            <w:pPr>
              <w:rPr>
                <w:b/>
                <w:vertAlign w:val="superscript"/>
              </w:rPr>
            </w:pPr>
          </w:p>
        </w:tc>
        <w:tc>
          <w:tcPr>
            <w:tcW w:w="1800" w:type="dxa"/>
          </w:tcPr>
          <w:p w:rsidR="00707C8B" w:rsidRPr="00B46C6D" w:rsidRDefault="00707C8B" w:rsidP="00E97900">
            <w:pPr>
              <w:rPr>
                <w:b/>
                <w:vertAlign w:val="superscript"/>
              </w:rPr>
            </w:pPr>
          </w:p>
        </w:tc>
      </w:tr>
      <w:tr w:rsidR="00001108" w:rsidRPr="00B46C6D" w:rsidTr="00001108">
        <w:trPr>
          <w:trHeight w:val="251"/>
        </w:trPr>
        <w:tc>
          <w:tcPr>
            <w:tcW w:w="13230" w:type="dxa"/>
            <w:gridSpan w:val="8"/>
          </w:tcPr>
          <w:p w:rsidR="00001108" w:rsidRPr="00B46C6D" w:rsidRDefault="00001108" w:rsidP="00E97900">
            <w:pPr>
              <w:rPr>
                <w:b/>
                <w:vertAlign w:val="superscript"/>
              </w:rPr>
            </w:pPr>
            <w:r w:rsidRPr="00B46C6D">
              <w:rPr>
                <w:b/>
              </w:rPr>
              <w:t xml:space="preserve">MFO 2: </w:t>
            </w:r>
          </w:p>
        </w:tc>
      </w:tr>
      <w:tr w:rsidR="00001108" w:rsidRPr="00B46C6D" w:rsidTr="00EA7998">
        <w:trPr>
          <w:trHeight w:val="332"/>
        </w:trPr>
        <w:tc>
          <w:tcPr>
            <w:tcW w:w="13230" w:type="dxa"/>
            <w:gridSpan w:val="8"/>
          </w:tcPr>
          <w:p w:rsidR="00001108" w:rsidRPr="00B46C6D" w:rsidRDefault="00001108" w:rsidP="000F161F">
            <w:pPr>
              <w:rPr>
                <w:b/>
                <w:vertAlign w:val="superscript"/>
              </w:rPr>
            </w:pPr>
            <w:r w:rsidRPr="00B46C6D">
              <w:rPr>
                <w:b/>
              </w:rPr>
              <w:t>201</w:t>
            </w:r>
            <w:r w:rsidR="000F161F" w:rsidRPr="00B46C6D">
              <w:rPr>
                <w:b/>
              </w:rPr>
              <w:t>7</w:t>
            </w:r>
            <w:r w:rsidRPr="00B46C6D">
              <w:rPr>
                <w:b/>
              </w:rPr>
              <w:t xml:space="preserve"> Budget: </w:t>
            </w:r>
          </w:p>
        </w:tc>
      </w:tr>
      <w:tr w:rsidR="00001108" w:rsidRPr="00B46C6D" w:rsidTr="007C0F4F">
        <w:trPr>
          <w:trHeight w:val="449"/>
        </w:trPr>
        <w:tc>
          <w:tcPr>
            <w:tcW w:w="2468" w:type="dxa"/>
            <w:gridSpan w:val="2"/>
          </w:tcPr>
          <w:p w:rsidR="00001108" w:rsidRPr="00B46C6D" w:rsidRDefault="00001108" w:rsidP="00AE2BF7">
            <w:pPr>
              <w:rPr>
                <w:b/>
              </w:rPr>
            </w:pPr>
            <w:r w:rsidRPr="00B46C6D">
              <w:t xml:space="preserve">Performance Indicator 1: </w:t>
            </w:r>
          </w:p>
        </w:tc>
        <w:tc>
          <w:tcPr>
            <w:tcW w:w="2122" w:type="dxa"/>
          </w:tcPr>
          <w:p w:rsidR="00001108" w:rsidRPr="00B46C6D" w:rsidRDefault="00001108" w:rsidP="00E97900">
            <w:pPr>
              <w:rPr>
                <w:b/>
                <w:vertAlign w:val="superscript"/>
              </w:rPr>
            </w:pPr>
          </w:p>
        </w:tc>
        <w:tc>
          <w:tcPr>
            <w:tcW w:w="1350" w:type="dxa"/>
            <w:vAlign w:val="center"/>
          </w:tcPr>
          <w:p w:rsidR="00001108" w:rsidRPr="00B46C6D" w:rsidRDefault="00001108" w:rsidP="00F17E01">
            <w:pPr>
              <w:jc w:val="center"/>
              <w:rPr>
                <w:b/>
              </w:rPr>
            </w:pPr>
          </w:p>
        </w:tc>
        <w:tc>
          <w:tcPr>
            <w:tcW w:w="1620" w:type="dxa"/>
          </w:tcPr>
          <w:p w:rsidR="00001108" w:rsidRPr="00B46C6D" w:rsidRDefault="00001108" w:rsidP="00E97900">
            <w:pPr>
              <w:rPr>
                <w:b/>
                <w:vertAlign w:val="superscript"/>
              </w:rPr>
            </w:pPr>
          </w:p>
        </w:tc>
        <w:tc>
          <w:tcPr>
            <w:tcW w:w="207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r>
      <w:tr w:rsidR="00001108" w:rsidRPr="00B46C6D" w:rsidTr="007C0F4F">
        <w:trPr>
          <w:trHeight w:val="440"/>
        </w:trPr>
        <w:tc>
          <w:tcPr>
            <w:tcW w:w="2468" w:type="dxa"/>
            <w:gridSpan w:val="2"/>
          </w:tcPr>
          <w:p w:rsidR="00001108" w:rsidRPr="00B46C6D" w:rsidRDefault="00001108" w:rsidP="00AE2BF7">
            <w:pPr>
              <w:rPr>
                <w:color w:val="FF0000"/>
              </w:rPr>
            </w:pPr>
            <w:r w:rsidRPr="00B46C6D">
              <w:t>Performance Indicator 2:</w:t>
            </w:r>
          </w:p>
        </w:tc>
        <w:tc>
          <w:tcPr>
            <w:tcW w:w="2122" w:type="dxa"/>
          </w:tcPr>
          <w:p w:rsidR="00001108" w:rsidRPr="00B46C6D" w:rsidRDefault="00001108" w:rsidP="00E97900">
            <w:pPr>
              <w:rPr>
                <w:b/>
                <w:vertAlign w:val="superscript"/>
              </w:rPr>
            </w:pPr>
          </w:p>
        </w:tc>
        <w:tc>
          <w:tcPr>
            <w:tcW w:w="1350" w:type="dxa"/>
            <w:vAlign w:val="center"/>
          </w:tcPr>
          <w:p w:rsidR="00001108" w:rsidRPr="00B46C6D" w:rsidRDefault="00001108" w:rsidP="00F17E01">
            <w:pPr>
              <w:jc w:val="center"/>
              <w:rPr>
                <w:b/>
              </w:rPr>
            </w:pPr>
          </w:p>
        </w:tc>
        <w:tc>
          <w:tcPr>
            <w:tcW w:w="1620" w:type="dxa"/>
          </w:tcPr>
          <w:p w:rsidR="00001108" w:rsidRPr="00B46C6D" w:rsidRDefault="00001108" w:rsidP="00E97900">
            <w:pPr>
              <w:rPr>
                <w:b/>
                <w:vertAlign w:val="superscript"/>
              </w:rPr>
            </w:pPr>
          </w:p>
        </w:tc>
        <w:tc>
          <w:tcPr>
            <w:tcW w:w="207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r>
      <w:tr w:rsidR="00001108" w:rsidRPr="00B46C6D" w:rsidTr="007C0F4F">
        <w:trPr>
          <w:trHeight w:val="440"/>
        </w:trPr>
        <w:tc>
          <w:tcPr>
            <w:tcW w:w="2468" w:type="dxa"/>
            <w:gridSpan w:val="2"/>
          </w:tcPr>
          <w:p w:rsidR="00001108" w:rsidRPr="00B46C6D" w:rsidRDefault="00001108" w:rsidP="00AE2BF7">
            <w:pPr>
              <w:rPr>
                <w:color w:val="FF0000"/>
              </w:rPr>
            </w:pPr>
            <w:r w:rsidRPr="00B46C6D">
              <w:t>Performance Indicator 3:</w:t>
            </w:r>
          </w:p>
        </w:tc>
        <w:tc>
          <w:tcPr>
            <w:tcW w:w="2122" w:type="dxa"/>
          </w:tcPr>
          <w:p w:rsidR="00001108" w:rsidRPr="00B46C6D" w:rsidRDefault="00001108" w:rsidP="00E97900">
            <w:pPr>
              <w:rPr>
                <w:b/>
                <w:vertAlign w:val="superscript"/>
              </w:rPr>
            </w:pPr>
          </w:p>
        </w:tc>
        <w:tc>
          <w:tcPr>
            <w:tcW w:w="1350" w:type="dxa"/>
            <w:vAlign w:val="center"/>
          </w:tcPr>
          <w:p w:rsidR="00001108" w:rsidRPr="00B46C6D" w:rsidRDefault="00001108" w:rsidP="00F17E01">
            <w:pPr>
              <w:jc w:val="center"/>
              <w:rPr>
                <w:b/>
              </w:rPr>
            </w:pPr>
          </w:p>
        </w:tc>
        <w:tc>
          <w:tcPr>
            <w:tcW w:w="1620" w:type="dxa"/>
          </w:tcPr>
          <w:p w:rsidR="00001108" w:rsidRPr="00B46C6D" w:rsidRDefault="00001108" w:rsidP="00E97900">
            <w:pPr>
              <w:rPr>
                <w:b/>
                <w:vertAlign w:val="superscript"/>
              </w:rPr>
            </w:pPr>
          </w:p>
        </w:tc>
        <w:tc>
          <w:tcPr>
            <w:tcW w:w="207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r>
      <w:tr w:rsidR="00001108" w:rsidRPr="00B46C6D" w:rsidTr="00001108">
        <w:trPr>
          <w:trHeight w:val="251"/>
        </w:trPr>
        <w:tc>
          <w:tcPr>
            <w:tcW w:w="13230" w:type="dxa"/>
            <w:gridSpan w:val="8"/>
          </w:tcPr>
          <w:p w:rsidR="00001108" w:rsidRPr="00B46C6D" w:rsidRDefault="00001108" w:rsidP="00F6308D">
            <w:pPr>
              <w:rPr>
                <w:b/>
              </w:rPr>
            </w:pPr>
            <w:r w:rsidRPr="00B46C6D">
              <w:rPr>
                <w:b/>
              </w:rPr>
              <w:t xml:space="preserve">STO </w:t>
            </w:r>
            <w:r w:rsidRPr="00B46C6D">
              <w:rPr>
                <w:b/>
                <w:vertAlign w:val="superscript"/>
              </w:rPr>
              <w:t>(2)</w:t>
            </w:r>
          </w:p>
        </w:tc>
      </w:tr>
      <w:tr w:rsidR="00001108" w:rsidRPr="00B46C6D" w:rsidTr="00001108">
        <w:trPr>
          <w:trHeight w:val="260"/>
        </w:trPr>
        <w:tc>
          <w:tcPr>
            <w:tcW w:w="13230" w:type="dxa"/>
            <w:gridSpan w:val="8"/>
          </w:tcPr>
          <w:p w:rsidR="00001108" w:rsidRPr="00B46C6D" w:rsidRDefault="00001108" w:rsidP="000F161F">
            <w:pPr>
              <w:rPr>
                <w:b/>
              </w:rPr>
            </w:pPr>
            <w:r w:rsidRPr="00B46C6D">
              <w:rPr>
                <w:b/>
              </w:rPr>
              <w:t>201</w:t>
            </w:r>
            <w:r w:rsidR="000F161F" w:rsidRPr="00B46C6D">
              <w:rPr>
                <w:b/>
              </w:rPr>
              <w:t>7</w:t>
            </w:r>
            <w:r w:rsidRPr="00B46C6D">
              <w:rPr>
                <w:b/>
              </w:rPr>
              <w:t xml:space="preserve"> Budget</w:t>
            </w:r>
          </w:p>
        </w:tc>
      </w:tr>
      <w:tr w:rsidR="00B46C6D" w:rsidRPr="00B46C6D" w:rsidTr="007C0F4F">
        <w:trPr>
          <w:trHeight w:val="350"/>
        </w:trPr>
        <w:tc>
          <w:tcPr>
            <w:tcW w:w="2430" w:type="dxa"/>
          </w:tcPr>
          <w:p w:rsidR="00B46C6D" w:rsidRDefault="00B46C6D" w:rsidP="006662E9">
            <w:pPr>
              <w:pStyle w:val="ListParagraph"/>
              <w:numPr>
                <w:ilvl w:val="0"/>
                <w:numId w:val="7"/>
              </w:numPr>
              <w:ind w:left="342"/>
            </w:pPr>
            <w:r w:rsidRPr="00B46C6D">
              <w:t>QMS Certification or ISO-aligned QMS Documentation</w:t>
            </w:r>
          </w:p>
          <w:p w:rsidR="00B46C6D" w:rsidRPr="00B46C6D" w:rsidRDefault="00B46C6D" w:rsidP="00B46C6D">
            <w:pPr>
              <w:pStyle w:val="ListParagraph"/>
              <w:ind w:left="342"/>
            </w:pPr>
          </w:p>
        </w:tc>
        <w:tc>
          <w:tcPr>
            <w:tcW w:w="2160" w:type="dxa"/>
            <w:gridSpan w:val="2"/>
          </w:tcPr>
          <w:p w:rsidR="00B46C6D" w:rsidRPr="00B46C6D" w:rsidRDefault="00B46C6D" w:rsidP="00E97900">
            <w:pPr>
              <w:rPr>
                <w:b/>
                <w:vertAlign w:val="superscript"/>
              </w:rPr>
            </w:pPr>
          </w:p>
        </w:tc>
        <w:tc>
          <w:tcPr>
            <w:tcW w:w="1350" w:type="dxa"/>
          </w:tcPr>
          <w:p w:rsidR="00B46C6D" w:rsidRPr="00B46C6D" w:rsidRDefault="00B46C6D" w:rsidP="00E97900">
            <w:pPr>
              <w:rPr>
                <w:b/>
                <w:vertAlign w:val="superscript"/>
              </w:rPr>
            </w:pPr>
          </w:p>
        </w:tc>
        <w:tc>
          <w:tcPr>
            <w:tcW w:w="1620" w:type="dxa"/>
          </w:tcPr>
          <w:p w:rsidR="00B46C6D" w:rsidRPr="00B46C6D" w:rsidRDefault="00B46C6D" w:rsidP="00E97900">
            <w:pPr>
              <w:rPr>
                <w:b/>
                <w:vertAlign w:val="superscript"/>
              </w:rPr>
            </w:pPr>
          </w:p>
        </w:tc>
        <w:tc>
          <w:tcPr>
            <w:tcW w:w="2070" w:type="dxa"/>
          </w:tcPr>
          <w:p w:rsidR="00B46C6D" w:rsidRPr="00B46C6D" w:rsidRDefault="00B46C6D" w:rsidP="00E97900">
            <w:pPr>
              <w:rPr>
                <w:b/>
                <w:vertAlign w:val="superscript"/>
              </w:rPr>
            </w:pPr>
          </w:p>
        </w:tc>
        <w:tc>
          <w:tcPr>
            <w:tcW w:w="1800" w:type="dxa"/>
          </w:tcPr>
          <w:p w:rsidR="00B46C6D" w:rsidRPr="00B46C6D" w:rsidRDefault="00B46C6D" w:rsidP="00E97900">
            <w:pPr>
              <w:rPr>
                <w:b/>
                <w:vertAlign w:val="superscript"/>
              </w:rPr>
            </w:pPr>
          </w:p>
        </w:tc>
        <w:tc>
          <w:tcPr>
            <w:tcW w:w="1800" w:type="dxa"/>
          </w:tcPr>
          <w:p w:rsidR="00B46C6D" w:rsidRPr="00B46C6D" w:rsidRDefault="00B46C6D" w:rsidP="00E97900">
            <w:pPr>
              <w:rPr>
                <w:b/>
                <w:vertAlign w:val="superscript"/>
              </w:rPr>
            </w:pPr>
          </w:p>
        </w:tc>
      </w:tr>
      <w:tr w:rsidR="00001108" w:rsidRPr="00B46C6D" w:rsidTr="007C0F4F">
        <w:trPr>
          <w:trHeight w:val="350"/>
        </w:trPr>
        <w:tc>
          <w:tcPr>
            <w:tcW w:w="2430" w:type="dxa"/>
          </w:tcPr>
          <w:p w:rsidR="00001108" w:rsidRDefault="00B46C6D" w:rsidP="006662E9">
            <w:pPr>
              <w:pStyle w:val="ListParagraph"/>
              <w:numPr>
                <w:ilvl w:val="0"/>
                <w:numId w:val="7"/>
              </w:numPr>
              <w:ind w:left="342"/>
            </w:pPr>
            <w:r>
              <w:t>2</w:t>
            </w:r>
            <w:r w:rsidRPr="00B46C6D">
              <w:rPr>
                <w:vertAlign w:val="superscript"/>
              </w:rPr>
              <w:t>nd</w:t>
            </w:r>
            <w:r>
              <w:t xml:space="preserve"> </w:t>
            </w:r>
            <w:r w:rsidR="006662E9" w:rsidRPr="00B46C6D">
              <w:t xml:space="preserve">STO Indicator </w:t>
            </w:r>
            <w:r>
              <w:t xml:space="preserve">to be identified in accordance with </w:t>
            </w:r>
            <w:r w:rsidR="006662E9" w:rsidRPr="00B46C6D">
              <w:t xml:space="preserve">the priority of the </w:t>
            </w:r>
            <w:r>
              <w:t>A</w:t>
            </w:r>
            <w:r w:rsidR="006662E9" w:rsidRPr="00B46C6D">
              <w:t xml:space="preserve">gency </w:t>
            </w:r>
            <w:r>
              <w:t>H</w:t>
            </w:r>
            <w:r w:rsidR="006662E9" w:rsidRPr="00B46C6D">
              <w:t xml:space="preserve">ead </w:t>
            </w:r>
          </w:p>
          <w:p w:rsidR="00B46C6D" w:rsidRPr="00B46C6D" w:rsidRDefault="00B46C6D" w:rsidP="00B46C6D">
            <w:pPr>
              <w:pStyle w:val="ListParagraph"/>
              <w:ind w:left="342"/>
            </w:pPr>
          </w:p>
        </w:tc>
        <w:tc>
          <w:tcPr>
            <w:tcW w:w="2160" w:type="dxa"/>
            <w:gridSpan w:val="2"/>
          </w:tcPr>
          <w:p w:rsidR="00001108" w:rsidRPr="00B46C6D" w:rsidRDefault="00001108" w:rsidP="00E97900">
            <w:pPr>
              <w:rPr>
                <w:b/>
                <w:vertAlign w:val="superscript"/>
              </w:rPr>
            </w:pPr>
          </w:p>
        </w:tc>
        <w:tc>
          <w:tcPr>
            <w:tcW w:w="1350" w:type="dxa"/>
          </w:tcPr>
          <w:p w:rsidR="00001108" w:rsidRPr="00B46C6D" w:rsidRDefault="00001108" w:rsidP="00E97900">
            <w:pPr>
              <w:rPr>
                <w:b/>
                <w:vertAlign w:val="superscript"/>
              </w:rPr>
            </w:pPr>
          </w:p>
        </w:tc>
        <w:tc>
          <w:tcPr>
            <w:tcW w:w="1620" w:type="dxa"/>
          </w:tcPr>
          <w:p w:rsidR="00001108" w:rsidRPr="00B46C6D" w:rsidRDefault="00001108" w:rsidP="00E97900">
            <w:pPr>
              <w:rPr>
                <w:b/>
                <w:vertAlign w:val="superscript"/>
              </w:rPr>
            </w:pPr>
          </w:p>
        </w:tc>
        <w:tc>
          <w:tcPr>
            <w:tcW w:w="207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c>
          <w:tcPr>
            <w:tcW w:w="1800" w:type="dxa"/>
          </w:tcPr>
          <w:p w:rsidR="00001108" w:rsidRPr="00B46C6D" w:rsidRDefault="00001108" w:rsidP="00E97900">
            <w:pPr>
              <w:rPr>
                <w:b/>
                <w:vertAlign w:val="superscript"/>
              </w:rPr>
            </w:pPr>
          </w:p>
        </w:tc>
      </w:tr>
    </w:tbl>
    <w:p w:rsidR="00001108" w:rsidRDefault="00001108" w:rsidP="00E97900">
      <w:pPr>
        <w:spacing w:after="0"/>
        <w:rPr>
          <w:b/>
        </w:rPr>
      </w:pPr>
    </w:p>
    <w:p w:rsidR="00EA7998" w:rsidRDefault="00EA7998" w:rsidP="00E97900">
      <w:pPr>
        <w:spacing w:after="0"/>
        <w:rPr>
          <w:b/>
        </w:rPr>
      </w:pPr>
    </w:p>
    <w:p w:rsidR="00EA7998" w:rsidRDefault="00EA7998" w:rsidP="00E97900">
      <w:pPr>
        <w:spacing w:after="0"/>
        <w:rPr>
          <w:b/>
        </w:rPr>
      </w:pPr>
      <w:bookmarkStart w:id="0" w:name="_GoBack"/>
      <w:bookmarkEnd w:id="0"/>
    </w:p>
    <w:p w:rsidR="00B46C6D" w:rsidRDefault="00B46C6D" w:rsidP="00E97900">
      <w:pPr>
        <w:spacing w:after="0"/>
        <w:rPr>
          <w:b/>
        </w:rPr>
      </w:pPr>
    </w:p>
    <w:tbl>
      <w:tblPr>
        <w:tblStyle w:val="TableGrid"/>
        <w:tblW w:w="13230" w:type="dxa"/>
        <w:tblInd w:w="108" w:type="dxa"/>
        <w:tblLayout w:type="fixed"/>
        <w:tblLook w:val="04A0" w:firstRow="1" w:lastRow="0" w:firstColumn="1" w:lastColumn="0" w:noHBand="0" w:noVBand="1"/>
      </w:tblPr>
      <w:tblGrid>
        <w:gridCol w:w="2610"/>
        <w:gridCol w:w="1890"/>
        <w:gridCol w:w="1350"/>
        <w:gridCol w:w="1800"/>
        <w:gridCol w:w="2070"/>
        <w:gridCol w:w="1800"/>
        <w:gridCol w:w="1710"/>
      </w:tblGrid>
      <w:tr w:rsidR="00A3527A" w:rsidRPr="00DD3B12" w:rsidTr="00933088">
        <w:tc>
          <w:tcPr>
            <w:tcW w:w="2610" w:type="dxa"/>
            <w:vAlign w:val="center"/>
          </w:tcPr>
          <w:p w:rsidR="00A3527A" w:rsidRPr="00BF3820" w:rsidRDefault="00A3527A" w:rsidP="00AE2BF7">
            <w:pPr>
              <w:jc w:val="center"/>
              <w:rPr>
                <w:rFonts w:ascii="Arial" w:hAnsi="Arial" w:cs="Arial"/>
                <w:b/>
                <w:sz w:val="16"/>
                <w:szCs w:val="16"/>
              </w:rPr>
            </w:pPr>
            <w:r w:rsidRPr="00BF3820">
              <w:rPr>
                <w:rFonts w:ascii="Arial" w:hAnsi="Arial" w:cs="Arial"/>
                <w:b/>
                <w:sz w:val="16"/>
                <w:szCs w:val="16"/>
              </w:rPr>
              <w:t>MFOs</w:t>
            </w:r>
            <w:r>
              <w:rPr>
                <w:rFonts w:ascii="Arial" w:hAnsi="Arial" w:cs="Arial"/>
                <w:b/>
                <w:sz w:val="16"/>
                <w:szCs w:val="16"/>
              </w:rPr>
              <w:t xml:space="preserve"> AND PERFORMANCE INDICATORS</w:t>
            </w:r>
          </w:p>
          <w:p w:rsidR="00A3527A" w:rsidRPr="00BF3820" w:rsidRDefault="00A3527A" w:rsidP="00AE2BF7">
            <w:pPr>
              <w:jc w:val="center"/>
              <w:rPr>
                <w:rFonts w:ascii="Arial" w:hAnsi="Arial" w:cs="Arial"/>
                <w:sz w:val="16"/>
                <w:szCs w:val="16"/>
              </w:rPr>
            </w:pPr>
            <w:r w:rsidRPr="00BF3820">
              <w:rPr>
                <w:rFonts w:ascii="Arial" w:hAnsi="Arial" w:cs="Arial"/>
                <w:sz w:val="16"/>
                <w:szCs w:val="16"/>
              </w:rPr>
              <w:t>(1)</w:t>
            </w:r>
          </w:p>
        </w:tc>
        <w:tc>
          <w:tcPr>
            <w:tcW w:w="1890" w:type="dxa"/>
            <w:vAlign w:val="center"/>
          </w:tcPr>
          <w:p w:rsidR="00A3527A" w:rsidRPr="00BF3820" w:rsidRDefault="00A3527A" w:rsidP="00272B83">
            <w:pPr>
              <w:jc w:val="center"/>
              <w:rPr>
                <w:rFonts w:ascii="Arial" w:hAnsi="Arial" w:cs="Arial"/>
                <w:b/>
                <w:sz w:val="16"/>
                <w:szCs w:val="16"/>
              </w:rPr>
            </w:pPr>
            <w:r>
              <w:rPr>
                <w:rFonts w:ascii="Arial" w:hAnsi="Arial" w:cs="Arial"/>
                <w:b/>
                <w:sz w:val="16"/>
                <w:szCs w:val="16"/>
              </w:rPr>
              <w:t>DEPARTMENT/AGENCY FY 201</w:t>
            </w:r>
            <w:r w:rsidR="000F161F">
              <w:rPr>
                <w:rFonts w:ascii="Arial" w:hAnsi="Arial" w:cs="Arial"/>
                <w:b/>
                <w:sz w:val="16"/>
                <w:szCs w:val="16"/>
              </w:rPr>
              <w:t>6</w:t>
            </w:r>
            <w:r>
              <w:rPr>
                <w:rFonts w:ascii="Arial" w:hAnsi="Arial" w:cs="Arial"/>
                <w:b/>
                <w:sz w:val="16"/>
                <w:szCs w:val="16"/>
              </w:rPr>
              <w:t xml:space="preserve"> ACTUAL ACCOMPLISHMENT </w:t>
            </w:r>
          </w:p>
          <w:p w:rsidR="00A3527A" w:rsidRPr="00BF3820" w:rsidRDefault="00A3527A" w:rsidP="00272B83">
            <w:pPr>
              <w:jc w:val="center"/>
              <w:rPr>
                <w:rFonts w:ascii="Arial" w:hAnsi="Arial" w:cs="Arial"/>
                <w:sz w:val="16"/>
                <w:szCs w:val="16"/>
              </w:rPr>
            </w:pPr>
          </w:p>
        </w:tc>
        <w:tc>
          <w:tcPr>
            <w:tcW w:w="1350" w:type="dxa"/>
            <w:vAlign w:val="center"/>
          </w:tcPr>
          <w:p w:rsidR="00A3527A" w:rsidRDefault="00A3527A" w:rsidP="00272B83">
            <w:pPr>
              <w:jc w:val="center"/>
              <w:rPr>
                <w:rFonts w:ascii="Arial" w:hAnsi="Arial" w:cs="Arial"/>
                <w:b/>
                <w:sz w:val="16"/>
                <w:szCs w:val="16"/>
              </w:rPr>
            </w:pPr>
            <w:r>
              <w:rPr>
                <w:rFonts w:ascii="Arial" w:hAnsi="Arial" w:cs="Arial"/>
                <w:b/>
                <w:sz w:val="16"/>
                <w:szCs w:val="16"/>
              </w:rPr>
              <w:t>DEPARTMENT/AGENCY</w:t>
            </w:r>
          </w:p>
          <w:p w:rsidR="00A3527A" w:rsidRPr="00BF3820" w:rsidRDefault="00A3527A" w:rsidP="00272B83">
            <w:pPr>
              <w:jc w:val="center"/>
              <w:rPr>
                <w:rFonts w:ascii="Arial" w:hAnsi="Arial" w:cs="Arial"/>
                <w:b/>
                <w:sz w:val="16"/>
                <w:szCs w:val="16"/>
              </w:rPr>
            </w:pPr>
            <w:r>
              <w:rPr>
                <w:rFonts w:ascii="Arial" w:hAnsi="Arial" w:cs="Arial"/>
                <w:b/>
                <w:sz w:val="16"/>
                <w:szCs w:val="16"/>
              </w:rPr>
              <w:t xml:space="preserve"> FY 201</w:t>
            </w:r>
            <w:r w:rsidR="000F161F">
              <w:rPr>
                <w:rFonts w:ascii="Arial" w:hAnsi="Arial" w:cs="Arial"/>
                <w:b/>
                <w:sz w:val="16"/>
                <w:szCs w:val="16"/>
              </w:rPr>
              <w:t>7</w:t>
            </w:r>
            <w:r w:rsidRPr="00BF3820">
              <w:rPr>
                <w:rFonts w:ascii="Arial" w:hAnsi="Arial" w:cs="Arial"/>
                <w:b/>
                <w:sz w:val="16"/>
                <w:szCs w:val="16"/>
              </w:rPr>
              <w:t xml:space="preserve"> TARGET</w:t>
            </w:r>
          </w:p>
          <w:p w:rsidR="00A3527A" w:rsidRPr="00BF3820" w:rsidRDefault="00A3527A" w:rsidP="00272B83">
            <w:pPr>
              <w:jc w:val="center"/>
              <w:rPr>
                <w:rFonts w:ascii="Arial" w:hAnsi="Arial" w:cs="Arial"/>
                <w:sz w:val="16"/>
                <w:szCs w:val="16"/>
              </w:rPr>
            </w:pPr>
          </w:p>
        </w:tc>
        <w:tc>
          <w:tcPr>
            <w:tcW w:w="1800" w:type="dxa"/>
            <w:vAlign w:val="center"/>
          </w:tcPr>
          <w:p w:rsidR="00735778" w:rsidRDefault="00A3527A" w:rsidP="00272B83">
            <w:pPr>
              <w:jc w:val="center"/>
              <w:rPr>
                <w:rFonts w:ascii="Arial" w:hAnsi="Arial" w:cs="Arial"/>
                <w:b/>
                <w:sz w:val="16"/>
                <w:szCs w:val="16"/>
              </w:rPr>
            </w:pPr>
            <w:r>
              <w:rPr>
                <w:rFonts w:ascii="Arial" w:hAnsi="Arial" w:cs="Arial"/>
                <w:b/>
                <w:sz w:val="16"/>
                <w:szCs w:val="16"/>
              </w:rPr>
              <w:t>RESPONSIBLE BUREAUS/</w:t>
            </w:r>
          </w:p>
          <w:p w:rsidR="00A3527A" w:rsidRPr="00BF3820" w:rsidRDefault="00A3527A" w:rsidP="00272B83">
            <w:pPr>
              <w:jc w:val="center"/>
              <w:rPr>
                <w:rFonts w:ascii="Arial" w:hAnsi="Arial" w:cs="Arial"/>
                <w:sz w:val="16"/>
                <w:szCs w:val="16"/>
              </w:rPr>
            </w:pPr>
            <w:r>
              <w:rPr>
                <w:rFonts w:ascii="Arial" w:hAnsi="Arial" w:cs="Arial"/>
                <w:b/>
                <w:sz w:val="16"/>
                <w:szCs w:val="16"/>
              </w:rPr>
              <w:t xml:space="preserve">OFFICES </w:t>
            </w:r>
          </w:p>
        </w:tc>
        <w:tc>
          <w:tcPr>
            <w:tcW w:w="2070" w:type="dxa"/>
            <w:vAlign w:val="center"/>
          </w:tcPr>
          <w:p w:rsidR="00A3527A" w:rsidRDefault="00A3527A" w:rsidP="00272B83">
            <w:pPr>
              <w:jc w:val="center"/>
              <w:rPr>
                <w:rFonts w:ascii="Arial" w:hAnsi="Arial" w:cs="Arial"/>
                <w:b/>
                <w:sz w:val="16"/>
                <w:szCs w:val="16"/>
              </w:rPr>
            </w:pPr>
            <w:r>
              <w:rPr>
                <w:rFonts w:ascii="Arial" w:hAnsi="Arial" w:cs="Arial"/>
                <w:b/>
                <w:sz w:val="16"/>
                <w:szCs w:val="16"/>
              </w:rPr>
              <w:t xml:space="preserve">DEPARTMENT/AGENCY </w:t>
            </w:r>
          </w:p>
          <w:p w:rsidR="00A3527A" w:rsidRPr="00BF3820" w:rsidRDefault="00A3527A" w:rsidP="000F161F">
            <w:pPr>
              <w:jc w:val="center"/>
              <w:rPr>
                <w:rFonts w:ascii="Arial" w:hAnsi="Arial" w:cs="Arial"/>
                <w:sz w:val="16"/>
                <w:szCs w:val="16"/>
              </w:rPr>
            </w:pPr>
            <w:r>
              <w:rPr>
                <w:rFonts w:ascii="Arial" w:hAnsi="Arial" w:cs="Arial"/>
                <w:b/>
                <w:sz w:val="16"/>
                <w:szCs w:val="16"/>
              </w:rPr>
              <w:t>FY 201</w:t>
            </w:r>
            <w:r w:rsidR="000F161F">
              <w:rPr>
                <w:rFonts w:ascii="Arial" w:hAnsi="Arial" w:cs="Arial"/>
                <w:b/>
                <w:sz w:val="16"/>
                <w:szCs w:val="16"/>
              </w:rPr>
              <w:t>7</w:t>
            </w:r>
            <w:r>
              <w:rPr>
                <w:rFonts w:ascii="Arial" w:hAnsi="Arial" w:cs="Arial"/>
                <w:b/>
                <w:sz w:val="16"/>
                <w:szCs w:val="16"/>
              </w:rPr>
              <w:t xml:space="preserve"> ACTUAL ACCOMPLISHMENT </w:t>
            </w:r>
          </w:p>
        </w:tc>
        <w:tc>
          <w:tcPr>
            <w:tcW w:w="1800" w:type="dxa"/>
          </w:tcPr>
          <w:p w:rsidR="00A3527A" w:rsidRDefault="00A3527A" w:rsidP="00272B83">
            <w:pPr>
              <w:jc w:val="center"/>
              <w:rPr>
                <w:rFonts w:ascii="Arial" w:hAnsi="Arial" w:cs="Arial"/>
                <w:b/>
                <w:sz w:val="16"/>
                <w:szCs w:val="16"/>
              </w:rPr>
            </w:pPr>
          </w:p>
          <w:p w:rsidR="00A3527A" w:rsidRPr="00BF3820" w:rsidRDefault="00A3527A" w:rsidP="00272B83">
            <w:pPr>
              <w:jc w:val="center"/>
              <w:rPr>
                <w:rFonts w:ascii="Arial" w:hAnsi="Arial" w:cs="Arial"/>
                <w:b/>
                <w:sz w:val="16"/>
                <w:szCs w:val="16"/>
              </w:rPr>
            </w:pPr>
            <w:r>
              <w:rPr>
                <w:rFonts w:ascii="Arial" w:hAnsi="Arial" w:cs="Arial"/>
                <w:b/>
                <w:sz w:val="16"/>
                <w:szCs w:val="16"/>
              </w:rPr>
              <w:t>ACCOMPLISHMENT RATE</w:t>
            </w:r>
          </w:p>
          <w:p w:rsidR="00A3527A" w:rsidRPr="00F3721A" w:rsidRDefault="00A3527A" w:rsidP="00272B83">
            <w:pPr>
              <w:jc w:val="center"/>
              <w:rPr>
                <w:rFonts w:ascii="Arial" w:hAnsi="Arial" w:cs="Arial"/>
                <w:sz w:val="16"/>
                <w:szCs w:val="16"/>
              </w:rPr>
            </w:pPr>
          </w:p>
        </w:tc>
        <w:tc>
          <w:tcPr>
            <w:tcW w:w="1710" w:type="dxa"/>
            <w:vAlign w:val="center"/>
          </w:tcPr>
          <w:p w:rsidR="00A3527A" w:rsidRDefault="00A3527A" w:rsidP="00272B83">
            <w:pPr>
              <w:jc w:val="center"/>
              <w:rPr>
                <w:rFonts w:ascii="Arial" w:hAnsi="Arial" w:cs="Arial"/>
                <w:b/>
                <w:sz w:val="16"/>
                <w:szCs w:val="16"/>
              </w:rPr>
            </w:pPr>
            <w:r>
              <w:rPr>
                <w:rFonts w:ascii="Arial" w:hAnsi="Arial" w:cs="Arial"/>
                <w:b/>
                <w:sz w:val="16"/>
                <w:szCs w:val="16"/>
              </w:rPr>
              <w:t>REMARKS</w:t>
            </w:r>
          </w:p>
          <w:p w:rsidR="00A3527A" w:rsidRPr="00DD3B12" w:rsidRDefault="00A3527A" w:rsidP="00272B83">
            <w:pPr>
              <w:jc w:val="center"/>
              <w:rPr>
                <w:rFonts w:ascii="Arial" w:hAnsi="Arial" w:cs="Arial"/>
                <w:sz w:val="16"/>
                <w:szCs w:val="16"/>
              </w:rPr>
            </w:pPr>
            <w:r>
              <w:rPr>
                <w:rFonts w:ascii="Arial" w:hAnsi="Arial" w:cs="Arial"/>
                <w:sz w:val="16"/>
                <w:szCs w:val="16"/>
              </w:rPr>
              <w:t>(4)</w:t>
            </w:r>
          </w:p>
        </w:tc>
      </w:tr>
      <w:tr w:rsidR="00EA7998" w:rsidRPr="00001108" w:rsidTr="00B46C6D">
        <w:trPr>
          <w:trHeight w:val="314"/>
        </w:trPr>
        <w:tc>
          <w:tcPr>
            <w:tcW w:w="13230" w:type="dxa"/>
            <w:gridSpan w:val="7"/>
            <w:tcBorders>
              <w:bottom w:val="single" w:sz="4" w:space="0" w:color="000000" w:themeColor="text1"/>
            </w:tcBorders>
          </w:tcPr>
          <w:p w:rsidR="00EA7998" w:rsidRPr="00EA7998" w:rsidRDefault="00EA7998" w:rsidP="00AE2BF7">
            <w:pPr>
              <w:rPr>
                <w:b/>
              </w:rPr>
            </w:pPr>
            <w:r w:rsidRPr="00EA7998">
              <w:rPr>
                <w:b/>
              </w:rPr>
              <w:t xml:space="preserve">GASS </w:t>
            </w:r>
            <w:r w:rsidRPr="00EA7998">
              <w:rPr>
                <w:b/>
                <w:vertAlign w:val="superscript"/>
              </w:rPr>
              <w:t xml:space="preserve">(3) </w:t>
            </w:r>
          </w:p>
        </w:tc>
      </w:tr>
      <w:tr w:rsidR="00EA7998" w:rsidRPr="00001108" w:rsidTr="00EA7998">
        <w:trPr>
          <w:trHeight w:val="440"/>
        </w:trPr>
        <w:tc>
          <w:tcPr>
            <w:tcW w:w="13230" w:type="dxa"/>
            <w:gridSpan w:val="7"/>
            <w:tcBorders>
              <w:bottom w:val="single" w:sz="4" w:space="0" w:color="000000" w:themeColor="text1"/>
            </w:tcBorders>
          </w:tcPr>
          <w:p w:rsidR="00EA7998" w:rsidRPr="00EA7998" w:rsidRDefault="00EA7998" w:rsidP="000F161F">
            <w:pPr>
              <w:rPr>
                <w:b/>
                <w:vertAlign w:val="superscript"/>
              </w:rPr>
            </w:pPr>
            <w:r w:rsidRPr="00EA7998">
              <w:rPr>
                <w:b/>
              </w:rPr>
              <w:t>201</w:t>
            </w:r>
            <w:r w:rsidR="000F161F">
              <w:rPr>
                <w:b/>
              </w:rPr>
              <w:t>7</w:t>
            </w:r>
            <w:r w:rsidRPr="00EA7998">
              <w:rPr>
                <w:b/>
              </w:rPr>
              <w:t xml:space="preserve"> Budget</w:t>
            </w:r>
          </w:p>
        </w:tc>
      </w:tr>
      <w:tr w:rsidR="00EA7998" w:rsidRPr="00001108" w:rsidTr="00933088">
        <w:trPr>
          <w:trHeight w:val="233"/>
        </w:trPr>
        <w:tc>
          <w:tcPr>
            <w:tcW w:w="13230" w:type="dxa"/>
            <w:gridSpan w:val="7"/>
            <w:tcBorders>
              <w:bottom w:val="single" w:sz="4" w:space="0" w:color="000000" w:themeColor="text1"/>
            </w:tcBorders>
          </w:tcPr>
          <w:p w:rsidR="00EA7998" w:rsidRPr="00933088" w:rsidRDefault="00EA7998" w:rsidP="00B46C6D">
            <w:pPr>
              <w:ind w:left="72"/>
              <w:rPr>
                <w:vertAlign w:val="superscript"/>
              </w:rPr>
            </w:pPr>
            <w:r w:rsidRPr="00933088">
              <w:t>A. B</w:t>
            </w:r>
            <w:r w:rsidR="00B46C6D" w:rsidRPr="00933088">
              <w:t xml:space="preserve">udget </w:t>
            </w:r>
            <w:r w:rsidRPr="00933088">
              <w:t>U</w:t>
            </w:r>
            <w:r w:rsidR="00B46C6D" w:rsidRPr="00933088">
              <w:t>tilization Rate</w:t>
            </w:r>
          </w:p>
        </w:tc>
      </w:tr>
      <w:tr w:rsidR="00EA7998" w:rsidRPr="00BF3820" w:rsidTr="00933088">
        <w:trPr>
          <w:trHeight w:val="440"/>
        </w:trPr>
        <w:tc>
          <w:tcPr>
            <w:tcW w:w="2610" w:type="dxa"/>
            <w:tcBorders>
              <w:bottom w:val="single" w:sz="4" w:space="0" w:color="000000" w:themeColor="text1"/>
            </w:tcBorders>
          </w:tcPr>
          <w:p w:rsidR="00EA7998" w:rsidRPr="00933088" w:rsidRDefault="00933088" w:rsidP="00933088">
            <w:pPr>
              <w:ind w:left="252" w:hanging="90"/>
            </w:pPr>
            <w:r>
              <w:t xml:space="preserve">a.1. </w:t>
            </w:r>
            <w:r w:rsidR="00EA7998" w:rsidRPr="00933088">
              <w:t>Obligations BUR</w:t>
            </w:r>
          </w:p>
        </w:tc>
        <w:tc>
          <w:tcPr>
            <w:tcW w:w="1890" w:type="dxa"/>
            <w:tcBorders>
              <w:bottom w:val="single" w:sz="4" w:space="0" w:color="000000" w:themeColor="text1"/>
            </w:tcBorders>
          </w:tcPr>
          <w:p w:rsidR="00EA7998" w:rsidRPr="00BF3820" w:rsidRDefault="00EA7998" w:rsidP="00AE2BF7">
            <w:pPr>
              <w:rPr>
                <w:b/>
                <w:vertAlign w:val="superscript"/>
              </w:rPr>
            </w:pPr>
          </w:p>
        </w:tc>
        <w:tc>
          <w:tcPr>
            <w:tcW w:w="135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c>
          <w:tcPr>
            <w:tcW w:w="207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c>
          <w:tcPr>
            <w:tcW w:w="1710" w:type="dxa"/>
            <w:tcBorders>
              <w:bottom w:val="single" w:sz="4" w:space="0" w:color="000000" w:themeColor="text1"/>
            </w:tcBorders>
          </w:tcPr>
          <w:p w:rsidR="00EA7998" w:rsidRPr="00BF3820" w:rsidRDefault="00EA7998" w:rsidP="00AE2BF7">
            <w:pPr>
              <w:rPr>
                <w:b/>
                <w:vertAlign w:val="superscript"/>
              </w:rPr>
            </w:pPr>
          </w:p>
        </w:tc>
      </w:tr>
      <w:tr w:rsidR="00EA7998" w:rsidRPr="00BF3820" w:rsidTr="00933088">
        <w:trPr>
          <w:trHeight w:val="449"/>
        </w:trPr>
        <w:tc>
          <w:tcPr>
            <w:tcW w:w="2610" w:type="dxa"/>
          </w:tcPr>
          <w:p w:rsidR="00EA7998" w:rsidRPr="00933088" w:rsidRDefault="00933088" w:rsidP="00933088">
            <w:pPr>
              <w:ind w:left="252" w:hanging="90"/>
            </w:pPr>
            <w:r>
              <w:t xml:space="preserve">a.2. </w:t>
            </w:r>
            <w:r w:rsidR="00EA7998" w:rsidRPr="00933088">
              <w:t>Disbursement BUR</w:t>
            </w:r>
          </w:p>
        </w:tc>
        <w:tc>
          <w:tcPr>
            <w:tcW w:w="1890" w:type="dxa"/>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207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710" w:type="dxa"/>
          </w:tcPr>
          <w:p w:rsidR="00EA7998" w:rsidRPr="00BF3820" w:rsidRDefault="00EA7998" w:rsidP="00AE2BF7">
            <w:pPr>
              <w:rPr>
                <w:b/>
                <w:vertAlign w:val="superscript"/>
              </w:rPr>
            </w:pPr>
          </w:p>
        </w:tc>
      </w:tr>
      <w:tr w:rsidR="00EA7998" w:rsidRPr="00BF3820" w:rsidTr="00933088">
        <w:trPr>
          <w:trHeight w:val="368"/>
        </w:trPr>
        <w:tc>
          <w:tcPr>
            <w:tcW w:w="2610" w:type="dxa"/>
          </w:tcPr>
          <w:p w:rsidR="00EA7998" w:rsidRDefault="00EA7998" w:rsidP="007A5D61">
            <w:pPr>
              <w:ind w:left="72"/>
            </w:pPr>
            <w:r w:rsidRPr="00933088">
              <w:t xml:space="preserve">B. </w:t>
            </w:r>
            <w:r w:rsidR="00B46C6D" w:rsidRPr="00933088">
              <w:t>Quarterly Submission of Budget and Financial Accountability Reports</w:t>
            </w:r>
          </w:p>
          <w:p w:rsidR="007A5D61" w:rsidRDefault="007A5D61" w:rsidP="007A5D61">
            <w:pPr>
              <w:ind w:left="72"/>
            </w:pPr>
            <w:r>
              <w:t xml:space="preserve">   b.1. - 1</w:t>
            </w:r>
            <w:r w:rsidRPr="007A5D61">
              <w:rPr>
                <w:vertAlign w:val="superscript"/>
              </w:rPr>
              <w:t>st</w:t>
            </w:r>
            <w:r>
              <w:t xml:space="preserve"> Quarter BFAR</w:t>
            </w:r>
          </w:p>
          <w:p w:rsidR="007A5D61" w:rsidRDefault="007A5D61" w:rsidP="007A5D61">
            <w:pPr>
              <w:ind w:left="72"/>
            </w:pPr>
            <w:r>
              <w:t xml:space="preserve">   b.2. – 2</w:t>
            </w:r>
            <w:r w:rsidRPr="007A5D61">
              <w:rPr>
                <w:vertAlign w:val="superscript"/>
              </w:rPr>
              <w:t>nd</w:t>
            </w:r>
            <w:r>
              <w:t xml:space="preserve"> Quarter BFAR</w:t>
            </w:r>
          </w:p>
          <w:p w:rsidR="007A5D61" w:rsidRDefault="007A5D61" w:rsidP="007A5D61">
            <w:pPr>
              <w:ind w:left="72"/>
            </w:pPr>
            <w:r>
              <w:t xml:space="preserve">   b.3. – 3</w:t>
            </w:r>
            <w:r w:rsidRPr="007A5D61">
              <w:rPr>
                <w:vertAlign w:val="superscript"/>
              </w:rPr>
              <w:t>rd</w:t>
            </w:r>
            <w:r>
              <w:t xml:space="preserve"> Quarter BFAR</w:t>
            </w:r>
          </w:p>
          <w:p w:rsidR="007A5D61" w:rsidRDefault="007A5D61" w:rsidP="007A5D61">
            <w:pPr>
              <w:ind w:left="72"/>
            </w:pPr>
            <w:r>
              <w:t xml:space="preserve">   b.4. – 4</w:t>
            </w:r>
            <w:r w:rsidRPr="007A5D61">
              <w:rPr>
                <w:vertAlign w:val="superscript"/>
              </w:rPr>
              <w:t>th</w:t>
            </w:r>
            <w:r>
              <w:t xml:space="preserve"> Quarter BFAR </w:t>
            </w:r>
          </w:p>
          <w:p w:rsidR="007A5D61" w:rsidRPr="00933088" w:rsidRDefault="007A5D61" w:rsidP="007A5D61">
            <w:pPr>
              <w:ind w:left="72"/>
            </w:pPr>
          </w:p>
        </w:tc>
        <w:tc>
          <w:tcPr>
            <w:tcW w:w="1890" w:type="dxa"/>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207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710" w:type="dxa"/>
          </w:tcPr>
          <w:p w:rsidR="00EA7998" w:rsidRPr="00BF3820" w:rsidRDefault="00EA7998" w:rsidP="00AE2BF7">
            <w:pPr>
              <w:rPr>
                <w:b/>
                <w:vertAlign w:val="superscript"/>
              </w:rPr>
            </w:pPr>
          </w:p>
        </w:tc>
      </w:tr>
      <w:tr w:rsidR="00292C81" w:rsidRPr="00BF3820" w:rsidTr="00933088">
        <w:trPr>
          <w:trHeight w:val="431"/>
        </w:trPr>
        <w:tc>
          <w:tcPr>
            <w:tcW w:w="2610" w:type="dxa"/>
            <w:tcBorders>
              <w:bottom w:val="single" w:sz="4" w:space="0" w:color="000000" w:themeColor="text1"/>
            </w:tcBorders>
          </w:tcPr>
          <w:p w:rsidR="00292C81" w:rsidRPr="00933088" w:rsidRDefault="00B46C6D" w:rsidP="007A5D61">
            <w:pPr>
              <w:ind w:left="72"/>
            </w:pPr>
            <w:r w:rsidRPr="00933088">
              <w:t>C</w:t>
            </w:r>
            <w:r w:rsidR="00292C81" w:rsidRPr="00933088">
              <w:t xml:space="preserve">. Full Compliance with at least 30% of the prior years’ </w:t>
            </w:r>
            <w:r w:rsidRPr="00933088">
              <w:t xml:space="preserve">COA </w:t>
            </w:r>
            <w:r w:rsidR="00292C81" w:rsidRPr="00933088">
              <w:t>audit recommendations</w:t>
            </w:r>
          </w:p>
        </w:tc>
        <w:tc>
          <w:tcPr>
            <w:tcW w:w="1890" w:type="dxa"/>
            <w:tcBorders>
              <w:bottom w:val="single" w:sz="4" w:space="0" w:color="000000" w:themeColor="text1"/>
            </w:tcBorders>
          </w:tcPr>
          <w:p w:rsidR="00292C81" w:rsidRPr="00BF3820" w:rsidRDefault="00292C81" w:rsidP="00AE2BF7">
            <w:pPr>
              <w:rPr>
                <w:b/>
                <w:vertAlign w:val="superscript"/>
              </w:rPr>
            </w:pPr>
          </w:p>
        </w:tc>
        <w:tc>
          <w:tcPr>
            <w:tcW w:w="1350" w:type="dxa"/>
            <w:tcBorders>
              <w:bottom w:val="single" w:sz="4" w:space="0" w:color="000000" w:themeColor="text1"/>
            </w:tcBorders>
          </w:tcPr>
          <w:p w:rsidR="00292C81" w:rsidRPr="00BF3820" w:rsidRDefault="00292C81" w:rsidP="00AE2BF7">
            <w:pPr>
              <w:rPr>
                <w:b/>
                <w:vertAlign w:val="superscript"/>
              </w:rPr>
            </w:pPr>
          </w:p>
        </w:tc>
        <w:tc>
          <w:tcPr>
            <w:tcW w:w="1800" w:type="dxa"/>
            <w:tcBorders>
              <w:bottom w:val="single" w:sz="4" w:space="0" w:color="000000" w:themeColor="text1"/>
            </w:tcBorders>
          </w:tcPr>
          <w:p w:rsidR="00292C81" w:rsidRPr="00BF3820" w:rsidRDefault="00292C81" w:rsidP="00AE2BF7">
            <w:pPr>
              <w:rPr>
                <w:b/>
                <w:vertAlign w:val="superscript"/>
              </w:rPr>
            </w:pPr>
          </w:p>
        </w:tc>
        <w:tc>
          <w:tcPr>
            <w:tcW w:w="2070" w:type="dxa"/>
            <w:tcBorders>
              <w:bottom w:val="single" w:sz="4" w:space="0" w:color="000000" w:themeColor="text1"/>
            </w:tcBorders>
          </w:tcPr>
          <w:p w:rsidR="00292C81" w:rsidRPr="00BF3820" w:rsidRDefault="00292C81" w:rsidP="00AE2BF7">
            <w:pPr>
              <w:rPr>
                <w:b/>
                <w:vertAlign w:val="superscript"/>
              </w:rPr>
            </w:pPr>
          </w:p>
        </w:tc>
        <w:tc>
          <w:tcPr>
            <w:tcW w:w="1800" w:type="dxa"/>
            <w:tcBorders>
              <w:bottom w:val="single" w:sz="4" w:space="0" w:color="000000" w:themeColor="text1"/>
            </w:tcBorders>
          </w:tcPr>
          <w:p w:rsidR="00292C81" w:rsidRPr="00BF3820" w:rsidRDefault="00292C81" w:rsidP="00AE2BF7">
            <w:pPr>
              <w:rPr>
                <w:b/>
                <w:vertAlign w:val="superscript"/>
              </w:rPr>
            </w:pPr>
          </w:p>
        </w:tc>
        <w:tc>
          <w:tcPr>
            <w:tcW w:w="1710" w:type="dxa"/>
            <w:tcBorders>
              <w:bottom w:val="single" w:sz="4" w:space="0" w:color="000000" w:themeColor="text1"/>
            </w:tcBorders>
          </w:tcPr>
          <w:p w:rsidR="00292C81" w:rsidRPr="00BF3820" w:rsidRDefault="00292C81" w:rsidP="00AE2BF7">
            <w:pPr>
              <w:rPr>
                <w:b/>
                <w:vertAlign w:val="superscript"/>
              </w:rPr>
            </w:pPr>
          </w:p>
        </w:tc>
      </w:tr>
    </w:tbl>
    <w:p w:rsidR="00EA7998" w:rsidRDefault="00EA7998" w:rsidP="00E97900">
      <w:pPr>
        <w:spacing w:after="0"/>
        <w:rPr>
          <w:b/>
        </w:rPr>
      </w:pPr>
    </w:p>
    <w:p w:rsidR="008E3136" w:rsidRDefault="008E3136" w:rsidP="00E97900">
      <w:pPr>
        <w:spacing w:after="0"/>
        <w:rPr>
          <w:b/>
        </w:rPr>
      </w:pPr>
      <w:r>
        <w:rPr>
          <w:b/>
        </w:rPr>
        <w:t>Recommending Approval:</w:t>
      </w:r>
      <w:r>
        <w:rPr>
          <w:b/>
        </w:rPr>
        <w:tab/>
      </w:r>
      <w:r>
        <w:rPr>
          <w:b/>
        </w:rPr>
        <w:tab/>
      </w:r>
      <w:r>
        <w:rPr>
          <w:b/>
        </w:rPr>
        <w:tab/>
      </w:r>
      <w:r>
        <w:rPr>
          <w:b/>
        </w:rPr>
        <w:tab/>
      </w:r>
      <w:r>
        <w:rPr>
          <w:b/>
        </w:rPr>
        <w:tab/>
      </w:r>
      <w:r>
        <w:rPr>
          <w:b/>
        </w:rPr>
        <w:tab/>
      </w:r>
      <w:r>
        <w:rPr>
          <w:b/>
        </w:rPr>
        <w:tab/>
        <w:t>Prepared by:</w:t>
      </w:r>
    </w:p>
    <w:p w:rsidR="008E3136" w:rsidRPr="008E3136" w:rsidRDefault="008C46CC" w:rsidP="00E97900">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7661275</wp:posOffset>
                </wp:positionH>
                <wp:positionV relativeFrom="paragraph">
                  <wp:posOffset>156210</wp:posOffset>
                </wp:positionV>
                <wp:extent cx="762000" cy="0"/>
                <wp:effectExtent l="12700" t="8255" r="6350" b="10795"/>
                <wp:wrapNone/>
                <wp:docPr id="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603.25pt;margin-top:12.3pt;width:6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3P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3167380</wp:posOffset>
                </wp:positionH>
                <wp:positionV relativeFrom="paragraph">
                  <wp:posOffset>146685</wp:posOffset>
                </wp:positionV>
                <wp:extent cx="762000" cy="0"/>
                <wp:effectExtent l="5080" t="8255" r="13970" b="10795"/>
                <wp:wrapNone/>
                <wp:docPr id="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49.4pt;margin-top:11.55pt;width:6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4567555</wp:posOffset>
                </wp:positionH>
                <wp:positionV relativeFrom="paragraph">
                  <wp:posOffset>146685</wp:posOffset>
                </wp:positionV>
                <wp:extent cx="2597785" cy="0"/>
                <wp:effectExtent l="5080" t="8255" r="6985" b="1079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359.65pt;margin-top:11.55pt;width:20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yIQ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146685</wp:posOffset>
                </wp:positionV>
                <wp:extent cx="2597785" cy="0"/>
                <wp:effectExtent l="9525" t="8255" r="12065" b="10795"/>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75pt;margin-top:11.55pt;width:20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VZ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"/>
            </w:pict>
          </mc:Fallback>
        </mc:AlternateContent>
      </w:r>
    </w:p>
    <w:p w:rsidR="008E3136" w:rsidRDefault="00E97900" w:rsidP="008E3136">
      <w:pPr>
        <w:spacing w:after="0"/>
        <w:rPr>
          <w:b/>
        </w:rPr>
      </w:pPr>
      <w:r>
        <w:rPr>
          <w:b/>
        </w:rPr>
        <w:t xml:space="preserve"> </w:t>
      </w:r>
      <w:r w:rsidR="00E13A34">
        <w:rPr>
          <w:b/>
        </w:rPr>
        <w:t>Planning Officer</w:t>
      </w:r>
      <w:r w:rsidR="008E3136">
        <w:rPr>
          <w:b/>
        </w:rPr>
        <w:tab/>
      </w:r>
      <w:r w:rsidR="008E3136">
        <w:rPr>
          <w:b/>
        </w:rPr>
        <w:tab/>
      </w:r>
      <w:r w:rsidR="008E3136">
        <w:rPr>
          <w:b/>
        </w:rPr>
        <w:tab/>
      </w:r>
      <w:r w:rsidR="008E3136">
        <w:rPr>
          <w:b/>
        </w:rPr>
        <w:tab/>
      </w:r>
      <w:r w:rsidR="008E3136">
        <w:rPr>
          <w:b/>
        </w:rPr>
        <w:tab/>
      </w:r>
      <w:r w:rsidR="002A4421">
        <w:rPr>
          <w:b/>
        </w:rPr>
        <w:t>D</w:t>
      </w:r>
      <w:r w:rsidR="008E3136">
        <w:rPr>
          <w:b/>
        </w:rPr>
        <w:t>ate</w:t>
      </w:r>
      <w:r w:rsidR="008E3136">
        <w:rPr>
          <w:b/>
        </w:rPr>
        <w:tab/>
      </w:r>
      <w:r w:rsidR="008E3136">
        <w:rPr>
          <w:b/>
        </w:rPr>
        <w:tab/>
      </w:r>
      <w:r w:rsidR="008E3136">
        <w:rPr>
          <w:b/>
        </w:rPr>
        <w:tab/>
      </w:r>
      <w:r w:rsidR="00C645AB">
        <w:rPr>
          <w:b/>
        </w:rPr>
        <w:t>Budget</w:t>
      </w:r>
      <w:r w:rsidR="007D220C">
        <w:rPr>
          <w:b/>
        </w:rPr>
        <w:t xml:space="preserve"> Officer</w:t>
      </w:r>
      <w:r w:rsidR="008E3136">
        <w:rPr>
          <w:b/>
        </w:rPr>
        <w:tab/>
      </w:r>
      <w:r w:rsidR="008E3136">
        <w:rPr>
          <w:b/>
        </w:rPr>
        <w:tab/>
      </w:r>
      <w:r w:rsidR="008E3136">
        <w:rPr>
          <w:b/>
        </w:rPr>
        <w:tab/>
      </w:r>
      <w:r w:rsidR="008E3136">
        <w:rPr>
          <w:b/>
        </w:rPr>
        <w:tab/>
      </w:r>
      <w:r w:rsidR="008E3136">
        <w:rPr>
          <w:b/>
        </w:rPr>
        <w:tab/>
      </w:r>
      <w:r w:rsidR="002A4421">
        <w:rPr>
          <w:b/>
        </w:rPr>
        <w:t>D</w:t>
      </w:r>
      <w:r w:rsidR="008E3136">
        <w:rPr>
          <w:b/>
        </w:rPr>
        <w:t>ate</w:t>
      </w:r>
    </w:p>
    <w:p w:rsidR="00E97900" w:rsidRDefault="00E97900" w:rsidP="00E97900">
      <w:pPr>
        <w:spacing w:after="0"/>
        <w:rPr>
          <w:b/>
        </w:rPr>
      </w:pPr>
    </w:p>
    <w:p w:rsidR="008E3136" w:rsidRDefault="008E3136" w:rsidP="00E97900">
      <w:pPr>
        <w:spacing w:after="0"/>
        <w:rPr>
          <w:b/>
        </w:rPr>
      </w:pPr>
      <w:r>
        <w:rPr>
          <w:b/>
        </w:rPr>
        <w:t>Approved by:</w:t>
      </w:r>
    </w:p>
    <w:p w:rsidR="008E3136" w:rsidRDefault="008C46CC" w:rsidP="00E97900">
      <w:pPr>
        <w:spacing w:after="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3105785</wp:posOffset>
                </wp:positionH>
                <wp:positionV relativeFrom="paragraph">
                  <wp:posOffset>175895</wp:posOffset>
                </wp:positionV>
                <wp:extent cx="762000" cy="0"/>
                <wp:effectExtent l="10160" t="12065" r="8890" b="6985"/>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44.55pt;margin-top:13.85pt;width:6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tL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175895</wp:posOffset>
                </wp:positionV>
                <wp:extent cx="2597785" cy="0"/>
                <wp:effectExtent l="9525" t="12065" r="12065" b="6985"/>
                <wp:wrapNone/>
                <wp:docPr id="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75pt;margin-top:13.85pt;width:20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T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pLAxoMK6AuEptbWiRHtWredb0u0NKVx1RLY/hbycD2VnISN6lhIszUGY3fNEMYghU&#10;iNM6NrYPkDAHdIxLOd2Wwo8eUfg4mS4eHuZ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"/>
            </w:pict>
          </mc:Fallback>
        </mc:AlternateContent>
      </w:r>
    </w:p>
    <w:p w:rsidR="007F44F7" w:rsidRDefault="007D220C" w:rsidP="00DD3B12">
      <w:pPr>
        <w:spacing w:after="0"/>
        <w:rPr>
          <w:b/>
        </w:rPr>
      </w:pPr>
      <w:r>
        <w:rPr>
          <w:b/>
        </w:rPr>
        <w:t>Department Secretary/Agency Head</w:t>
      </w:r>
      <w:r w:rsidR="008E3136">
        <w:rPr>
          <w:b/>
        </w:rPr>
        <w:tab/>
      </w:r>
      <w:r w:rsidR="008E3136">
        <w:rPr>
          <w:b/>
        </w:rPr>
        <w:tab/>
      </w:r>
      <w:r w:rsidR="008E3136">
        <w:rPr>
          <w:b/>
        </w:rPr>
        <w:tab/>
      </w:r>
      <w:r w:rsidR="002A4421">
        <w:rPr>
          <w:b/>
        </w:rPr>
        <w:t>D</w:t>
      </w:r>
      <w:r w:rsidR="008E3136">
        <w:rPr>
          <w:b/>
        </w:rPr>
        <w:t>at</w:t>
      </w:r>
      <w:r w:rsidR="00DD3B12">
        <w:rPr>
          <w:b/>
        </w:rPr>
        <w:t>e</w:t>
      </w:r>
      <w:r w:rsidR="007F44F7">
        <w:rPr>
          <w:b/>
        </w:rPr>
        <w:br w:type="page"/>
      </w:r>
    </w:p>
    <w:p w:rsidR="007F44F7" w:rsidRDefault="007F44F7" w:rsidP="00E97900">
      <w:pPr>
        <w:spacing w:after="0"/>
        <w:rPr>
          <w:b/>
        </w:rPr>
        <w:sectPr w:rsidR="007F44F7" w:rsidSect="00A3527A">
          <w:footerReference w:type="default" r:id="rId9"/>
          <w:pgSz w:w="15840" w:h="12240" w:orient="landscape"/>
          <w:pgMar w:top="450" w:right="1440" w:bottom="360" w:left="1440" w:header="720" w:footer="720" w:gutter="0"/>
          <w:cols w:space="720"/>
          <w:docGrid w:linePitch="360"/>
        </w:sectPr>
      </w:pPr>
    </w:p>
    <w:p w:rsidR="007F44F7" w:rsidRPr="008C46CC" w:rsidRDefault="007F44F7" w:rsidP="008C46CC">
      <w:pPr>
        <w:spacing w:after="0" w:line="240" w:lineRule="auto"/>
        <w:jc w:val="center"/>
        <w:rPr>
          <w:rFonts w:cs="Arial"/>
          <w:b/>
          <w:sz w:val="28"/>
        </w:rPr>
      </w:pPr>
      <w:r w:rsidRPr="008C46CC">
        <w:rPr>
          <w:rFonts w:cs="Arial"/>
          <w:b/>
          <w:sz w:val="28"/>
        </w:rPr>
        <w:lastRenderedPageBreak/>
        <w:t xml:space="preserve">Instructions to filling out </w:t>
      </w:r>
      <w:r w:rsidR="00292C81" w:rsidRPr="008C46CC">
        <w:rPr>
          <w:rFonts w:cs="Arial"/>
          <w:b/>
          <w:sz w:val="28"/>
        </w:rPr>
        <w:t>FORM A - DEPARTMENT/AGENCY PERFORMANCE ACCOMPLISHMENT</w:t>
      </w:r>
    </w:p>
    <w:p w:rsidR="007F44F7" w:rsidRPr="008C46CC" w:rsidRDefault="007F44F7" w:rsidP="008C46CC">
      <w:pPr>
        <w:spacing w:after="0" w:line="240" w:lineRule="auto"/>
        <w:jc w:val="both"/>
        <w:rPr>
          <w:rFonts w:cs="Arial"/>
          <w:b/>
          <w:sz w:val="24"/>
        </w:rPr>
      </w:pPr>
    </w:p>
    <w:p w:rsidR="00933088" w:rsidRPr="008C46CC" w:rsidRDefault="007F44F7" w:rsidP="008C46CC">
      <w:pPr>
        <w:pStyle w:val="ListParagraph"/>
        <w:numPr>
          <w:ilvl w:val="0"/>
          <w:numId w:val="10"/>
        </w:numPr>
        <w:spacing w:after="0" w:line="240" w:lineRule="auto"/>
        <w:jc w:val="both"/>
        <w:rPr>
          <w:rFonts w:cs="Arial"/>
        </w:rPr>
      </w:pPr>
      <w:r w:rsidRPr="008C46CC">
        <w:rPr>
          <w:rFonts w:cs="Arial"/>
        </w:rPr>
        <w:t>MFOs and Performance Indicators specified in the Performance-Improved Budget of an agency must be indicated in the Form A</w:t>
      </w:r>
      <w:r w:rsidR="0066686F" w:rsidRPr="008C46CC">
        <w:rPr>
          <w:rFonts w:cs="Arial"/>
        </w:rPr>
        <w:t>/A1</w:t>
      </w:r>
      <w:r w:rsidRPr="008C46CC">
        <w:rPr>
          <w:rFonts w:cs="Arial"/>
        </w:rPr>
        <w:t xml:space="preserve">.    </w:t>
      </w:r>
    </w:p>
    <w:p w:rsidR="00933088" w:rsidRPr="008C46CC" w:rsidRDefault="00933088" w:rsidP="008C46CC">
      <w:pPr>
        <w:pStyle w:val="ListParagraph"/>
        <w:spacing w:after="0" w:line="240" w:lineRule="auto"/>
        <w:jc w:val="both"/>
        <w:rPr>
          <w:rFonts w:cs="Arial"/>
        </w:rPr>
      </w:pPr>
    </w:p>
    <w:p w:rsidR="00933088" w:rsidRPr="008C46CC" w:rsidRDefault="00933088" w:rsidP="008C46CC">
      <w:pPr>
        <w:pStyle w:val="ListParagraph"/>
        <w:numPr>
          <w:ilvl w:val="0"/>
          <w:numId w:val="10"/>
        </w:numPr>
        <w:spacing w:after="0" w:line="240" w:lineRule="auto"/>
        <w:jc w:val="both"/>
        <w:rPr>
          <w:rFonts w:cs="Arial"/>
        </w:rPr>
      </w:pPr>
      <w:r w:rsidRPr="008C46CC">
        <w:rPr>
          <w:rFonts w:cs="Arial"/>
        </w:rPr>
        <w:t>Certification/Continuing certification of the Quality Management System (QMS) for at least one core process.  The certification must be issued by any international certification body (ICB) accredited by the International Accreditation Forum (IAF) members. Preferably, the ICB is accredited by the Philippine Accreditation Board, Department of Trade and Industry, which is a member of the IAF and authorized to accredit ICBs.  The certification must be valid until December 31, 2017 or later date and must be posted in the agency Transparency Seal.</w:t>
      </w:r>
    </w:p>
    <w:p w:rsidR="00933088" w:rsidRPr="008C46CC" w:rsidRDefault="00933088" w:rsidP="008C46CC">
      <w:pPr>
        <w:pStyle w:val="ListParagraph"/>
        <w:spacing w:after="0" w:line="240" w:lineRule="auto"/>
        <w:jc w:val="both"/>
        <w:rPr>
          <w:rFonts w:cs="Arial"/>
        </w:rPr>
      </w:pPr>
    </w:p>
    <w:p w:rsidR="00933088" w:rsidRPr="008C46CC" w:rsidRDefault="00933088" w:rsidP="008C46CC">
      <w:pPr>
        <w:pStyle w:val="ListParagraph"/>
        <w:spacing w:after="0" w:line="240" w:lineRule="auto"/>
        <w:jc w:val="both"/>
        <w:rPr>
          <w:rFonts w:cs="Arial"/>
        </w:rPr>
      </w:pPr>
      <w:r w:rsidRPr="008C46CC">
        <w:rPr>
          <w:rFonts w:cs="Arial"/>
        </w:rPr>
        <w:t>If an agency is not yet ISO certified, it should have at least an ISO-aligned documentation for at least one (1) core process, to include the i) Approved Quality Manual and approved Procedures and Work Instructions Manual, including Forms; and ii) Evidence of ISO 9001-aligned QMS implementation, i.e. Certification of the Head of the Agency on the conduct of Internal Quality Audit; and Minutes of the FY 2017 Management Review.</w:t>
      </w:r>
    </w:p>
    <w:p w:rsidR="008C46CC" w:rsidRPr="008C46CC" w:rsidRDefault="008C46CC" w:rsidP="008C46CC">
      <w:pPr>
        <w:pStyle w:val="ListParagraph"/>
        <w:spacing w:after="0" w:line="240" w:lineRule="auto"/>
        <w:jc w:val="both"/>
        <w:rPr>
          <w:rFonts w:cs="Arial"/>
        </w:rPr>
      </w:pPr>
    </w:p>
    <w:p w:rsidR="00933088" w:rsidRPr="008C46CC" w:rsidRDefault="00933088" w:rsidP="008C46CC">
      <w:pPr>
        <w:pStyle w:val="ListParagraph"/>
        <w:spacing w:after="0" w:line="240" w:lineRule="auto"/>
        <w:jc w:val="both"/>
        <w:rPr>
          <w:rFonts w:cs="Arial"/>
        </w:rPr>
      </w:pPr>
      <w:r w:rsidRPr="008C46CC">
        <w:rPr>
          <w:rFonts w:cs="Arial"/>
        </w:rPr>
        <w:t>The second STO target is identified in accordance with the priority of the Agency Head.</w:t>
      </w:r>
    </w:p>
    <w:p w:rsidR="008C46CC" w:rsidRPr="008C46CC" w:rsidRDefault="008C46CC" w:rsidP="008C46CC">
      <w:pPr>
        <w:pStyle w:val="ListParagraph"/>
        <w:spacing w:after="0" w:line="240" w:lineRule="auto"/>
        <w:jc w:val="both"/>
        <w:rPr>
          <w:rFonts w:cs="Arial"/>
        </w:rPr>
      </w:pPr>
    </w:p>
    <w:p w:rsidR="00F6308D" w:rsidRPr="008C46CC" w:rsidRDefault="006354E9" w:rsidP="008C46CC">
      <w:pPr>
        <w:pStyle w:val="ListParagraph"/>
        <w:numPr>
          <w:ilvl w:val="0"/>
          <w:numId w:val="10"/>
        </w:numPr>
        <w:spacing w:after="0" w:line="240" w:lineRule="auto"/>
        <w:jc w:val="both"/>
        <w:rPr>
          <w:rFonts w:cs="Arial"/>
        </w:rPr>
      </w:pPr>
      <w:r w:rsidRPr="008C46CC">
        <w:rPr>
          <w:rFonts w:cs="Arial"/>
        </w:rPr>
        <w:t>Common</w:t>
      </w:r>
      <w:r w:rsidR="00DD3B12" w:rsidRPr="008C46CC">
        <w:rPr>
          <w:rFonts w:cs="Arial"/>
        </w:rPr>
        <w:t xml:space="preserve"> General Administrative Support Service (GASS) indicators</w:t>
      </w:r>
      <w:r w:rsidR="00933088" w:rsidRPr="008C46CC">
        <w:rPr>
          <w:rFonts w:cs="Arial"/>
        </w:rPr>
        <w:t xml:space="preserve"> </w:t>
      </w:r>
      <w:r w:rsidR="00DD3B12" w:rsidRPr="008C46CC">
        <w:rPr>
          <w:rFonts w:cs="Arial"/>
        </w:rPr>
        <w:t xml:space="preserve">are: </w:t>
      </w:r>
    </w:p>
    <w:p w:rsidR="00933088" w:rsidRPr="008C46CC" w:rsidRDefault="00DD3B12" w:rsidP="008C46CC">
      <w:pPr>
        <w:pStyle w:val="ListParagraph"/>
        <w:numPr>
          <w:ilvl w:val="1"/>
          <w:numId w:val="10"/>
        </w:numPr>
        <w:spacing w:after="0" w:line="240" w:lineRule="auto"/>
        <w:jc w:val="both"/>
        <w:rPr>
          <w:rFonts w:cs="Arial"/>
        </w:rPr>
      </w:pPr>
      <w:r w:rsidRPr="008C46CC">
        <w:rPr>
          <w:rFonts w:cs="Arial"/>
        </w:rPr>
        <w:t xml:space="preserve">Budget Utilization Rate </w:t>
      </w:r>
      <w:r w:rsidR="008C46CC" w:rsidRPr="008C46CC">
        <w:rPr>
          <w:rFonts w:cs="Arial"/>
        </w:rPr>
        <w:t>Formula</w:t>
      </w:r>
    </w:p>
    <w:p w:rsidR="008C46CC" w:rsidRPr="008C46CC" w:rsidRDefault="008C46CC" w:rsidP="008C46CC">
      <w:pPr>
        <w:tabs>
          <w:tab w:val="left" w:pos="2880"/>
        </w:tabs>
        <w:spacing w:after="0" w:line="240" w:lineRule="auto"/>
        <w:ind w:left="1440"/>
        <w:jc w:val="both"/>
        <w:rPr>
          <w:rFonts w:cs="Arial"/>
        </w:rPr>
      </w:pPr>
    </w:p>
    <w:p w:rsidR="008C46CC" w:rsidRPr="008C46CC" w:rsidRDefault="008C46CC" w:rsidP="008C46CC">
      <w:pPr>
        <w:tabs>
          <w:tab w:val="left" w:pos="2880"/>
        </w:tabs>
        <w:spacing w:after="0" w:line="240" w:lineRule="auto"/>
        <w:ind w:left="1440"/>
        <w:jc w:val="both"/>
        <w:rPr>
          <w:rFonts w:cs="Arial"/>
        </w:rPr>
      </w:pPr>
      <w:r w:rsidRPr="008C46CC">
        <w:rPr>
          <w:rFonts w:cs="Arial"/>
        </w:rPr>
        <w:t xml:space="preserve"> For department/agencies/SUCs.</w:t>
      </w:r>
    </w:p>
    <w:p w:rsidR="00933088" w:rsidRPr="008C46CC" w:rsidRDefault="00933088" w:rsidP="008C46CC">
      <w:pPr>
        <w:pStyle w:val="ListParagraph"/>
        <w:numPr>
          <w:ilvl w:val="3"/>
          <w:numId w:val="15"/>
        </w:numPr>
        <w:tabs>
          <w:tab w:val="left" w:pos="2880"/>
        </w:tabs>
        <w:spacing w:after="0" w:line="240" w:lineRule="auto"/>
        <w:ind w:left="2160"/>
        <w:contextualSpacing w:val="0"/>
        <w:jc w:val="both"/>
        <w:rPr>
          <w:rFonts w:cs="Arial"/>
        </w:rPr>
      </w:pPr>
      <w:r w:rsidRPr="008C46CC">
        <w:rPr>
          <w:rFonts w:cs="Arial"/>
        </w:rPr>
        <w:t>Obligations BUR computed as obligations against all allotments still effective in FY 2017, both continuing and current year from all appropriation sources, including those released under the “GAA as the  allotment order policy, for maintenance and other operating expenses (MOOE) and capital outlays (CO) in FY 2017; and</w:t>
      </w:r>
    </w:p>
    <w:p w:rsidR="00933088" w:rsidRPr="008C46CC" w:rsidRDefault="00933088" w:rsidP="008C46CC">
      <w:pPr>
        <w:pStyle w:val="ListParagraph"/>
        <w:numPr>
          <w:ilvl w:val="3"/>
          <w:numId w:val="15"/>
        </w:numPr>
        <w:tabs>
          <w:tab w:val="left" w:pos="2880"/>
        </w:tabs>
        <w:spacing w:after="0" w:line="240" w:lineRule="auto"/>
        <w:ind w:left="2160"/>
        <w:contextualSpacing w:val="0"/>
        <w:jc w:val="both"/>
        <w:rPr>
          <w:rFonts w:cs="Arial"/>
        </w:rPr>
      </w:pPr>
      <w:r w:rsidRPr="008C46CC">
        <w:rPr>
          <w:rFonts w:cs="Arial"/>
        </w:rPr>
        <w:t>Disbursements BUR is measured by the ratio of total disbursement (cash and non-cash, excluding personnel services) to total obligations for maintenance and other operating expenses (MOOE) and capital outlays (CO) in FY 2017.</w:t>
      </w:r>
    </w:p>
    <w:p w:rsidR="008C46CC" w:rsidRPr="008C46CC" w:rsidRDefault="008C46CC" w:rsidP="008C46CC">
      <w:pPr>
        <w:pStyle w:val="ListParagraph"/>
        <w:tabs>
          <w:tab w:val="left" w:pos="2880"/>
        </w:tabs>
        <w:spacing w:after="0" w:line="240" w:lineRule="auto"/>
        <w:ind w:left="2160"/>
        <w:contextualSpacing w:val="0"/>
        <w:jc w:val="both"/>
        <w:rPr>
          <w:rFonts w:cs="Arial"/>
        </w:rPr>
      </w:pPr>
    </w:p>
    <w:p w:rsidR="00933088" w:rsidRPr="008C46CC" w:rsidRDefault="008C46CC" w:rsidP="008C46CC">
      <w:pPr>
        <w:tabs>
          <w:tab w:val="left" w:pos="2880"/>
        </w:tabs>
        <w:spacing w:after="0" w:line="240" w:lineRule="auto"/>
        <w:jc w:val="both"/>
        <w:rPr>
          <w:rFonts w:cs="Arial"/>
        </w:rPr>
      </w:pPr>
      <w:r w:rsidRPr="008C46CC">
        <w:rPr>
          <w:rFonts w:cs="Arial"/>
        </w:rPr>
        <w:t xml:space="preserve">                                 For </w:t>
      </w:r>
      <w:r w:rsidR="00933088" w:rsidRPr="008C46CC">
        <w:rPr>
          <w:rFonts w:cs="Arial"/>
        </w:rPr>
        <w:t xml:space="preserve"> GOCCs is computed as follows:</w:t>
      </w:r>
    </w:p>
    <w:p w:rsidR="008C46CC" w:rsidRPr="008C46CC" w:rsidRDefault="008C46CC" w:rsidP="008C46CC">
      <w:pPr>
        <w:pStyle w:val="ListParagraph"/>
        <w:numPr>
          <w:ilvl w:val="3"/>
          <w:numId w:val="14"/>
        </w:numPr>
        <w:tabs>
          <w:tab w:val="left" w:pos="2880"/>
        </w:tabs>
        <w:spacing w:after="0" w:line="240" w:lineRule="auto"/>
        <w:ind w:left="2160"/>
        <w:contextualSpacing w:val="0"/>
        <w:jc w:val="both"/>
        <w:rPr>
          <w:rFonts w:cs="Arial"/>
        </w:rPr>
      </w:pPr>
      <w:r w:rsidRPr="008C46CC">
        <w:rPr>
          <w:rFonts w:cs="Arial"/>
        </w:rPr>
        <w:t>Obligations BUR = Total Obligations / DBM Approved Corporate Operating Budget (both net of Personnel Services)</w:t>
      </w:r>
    </w:p>
    <w:p w:rsidR="008C46CC" w:rsidRPr="008C46CC" w:rsidRDefault="008C46CC" w:rsidP="008C46CC">
      <w:pPr>
        <w:pStyle w:val="ListParagraph"/>
        <w:numPr>
          <w:ilvl w:val="3"/>
          <w:numId w:val="14"/>
        </w:numPr>
        <w:tabs>
          <w:tab w:val="left" w:pos="2880"/>
        </w:tabs>
        <w:spacing w:after="0" w:line="240" w:lineRule="auto"/>
        <w:ind w:left="2160"/>
        <w:contextualSpacing w:val="0"/>
        <w:jc w:val="both"/>
        <w:rPr>
          <w:rFonts w:cs="Arial"/>
        </w:rPr>
      </w:pPr>
      <w:r w:rsidRPr="008C46CC">
        <w:rPr>
          <w:rFonts w:cs="Arial"/>
        </w:rPr>
        <w:t>Disbursement BUR = Total Actual Disbursement / Total Actual obligations (both net of Personnel Services)</w:t>
      </w:r>
    </w:p>
    <w:p w:rsidR="008C46CC" w:rsidRPr="008C46CC" w:rsidRDefault="008C46CC" w:rsidP="008C46CC">
      <w:pPr>
        <w:pStyle w:val="ListParagraph"/>
        <w:tabs>
          <w:tab w:val="left" w:pos="2880"/>
        </w:tabs>
        <w:spacing w:after="0" w:line="240" w:lineRule="auto"/>
        <w:ind w:left="2160"/>
        <w:contextualSpacing w:val="0"/>
        <w:jc w:val="both"/>
        <w:rPr>
          <w:rFonts w:cs="Arial"/>
        </w:rPr>
      </w:pPr>
    </w:p>
    <w:p w:rsidR="00186848" w:rsidRPr="008C46CC" w:rsidRDefault="00292C81" w:rsidP="008C46CC">
      <w:pPr>
        <w:pStyle w:val="ListParagraph"/>
        <w:numPr>
          <w:ilvl w:val="1"/>
          <w:numId w:val="10"/>
        </w:numPr>
        <w:spacing w:after="0" w:line="240" w:lineRule="auto"/>
        <w:jc w:val="both"/>
        <w:rPr>
          <w:rFonts w:cs="Arial"/>
        </w:rPr>
      </w:pPr>
      <w:r w:rsidRPr="008C46CC">
        <w:rPr>
          <w:rFonts w:cs="Arial"/>
        </w:rPr>
        <w:t>Quarterly submission of Budget and Financial Accountability Reports (BFARs) online using the DBM’s Unified Reporting System (URS) 30 days after end of each quarter, as provided in COA-DBM-DOF Joint Circular No. 2014-1 dated July 4, 2014.</w:t>
      </w:r>
    </w:p>
    <w:p w:rsidR="008C46CC" w:rsidRPr="008C46CC" w:rsidRDefault="008C46CC" w:rsidP="008C46CC">
      <w:pPr>
        <w:pStyle w:val="ListParagraph"/>
        <w:spacing w:after="0" w:line="240" w:lineRule="auto"/>
        <w:ind w:left="1440"/>
        <w:jc w:val="both"/>
        <w:rPr>
          <w:rFonts w:cs="Arial"/>
        </w:rPr>
      </w:pPr>
    </w:p>
    <w:p w:rsidR="00292C81" w:rsidRPr="008C46CC" w:rsidRDefault="00292C81" w:rsidP="008C46CC">
      <w:pPr>
        <w:pStyle w:val="ListParagraph"/>
        <w:numPr>
          <w:ilvl w:val="1"/>
          <w:numId w:val="10"/>
        </w:numPr>
        <w:spacing w:after="0" w:line="240" w:lineRule="auto"/>
        <w:jc w:val="both"/>
        <w:rPr>
          <w:rFonts w:cs="Arial"/>
        </w:rPr>
      </w:pPr>
      <w:r w:rsidRPr="008C46CC">
        <w:rPr>
          <w:rFonts w:cs="Arial"/>
        </w:rPr>
        <w:t>Departments/Agencies shall have fully complied with at least 30% of the prior years’ audit recommendations, as shown in the Report on Status of Implementation of Prior Years’ Recommendations of the Annual Audit Report (AAR).</w:t>
      </w:r>
    </w:p>
    <w:p w:rsidR="008C46CC" w:rsidRPr="008C46CC" w:rsidRDefault="008C46CC" w:rsidP="008C46CC">
      <w:pPr>
        <w:pStyle w:val="ListParagraph"/>
        <w:rPr>
          <w:rFonts w:cs="Arial"/>
        </w:rPr>
      </w:pPr>
    </w:p>
    <w:p w:rsidR="00292C81" w:rsidRPr="008C46CC" w:rsidRDefault="00665AC9" w:rsidP="008C46CC">
      <w:pPr>
        <w:pStyle w:val="ListParagraph"/>
        <w:numPr>
          <w:ilvl w:val="0"/>
          <w:numId w:val="10"/>
        </w:numPr>
        <w:tabs>
          <w:tab w:val="left" w:pos="9377"/>
        </w:tabs>
        <w:spacing w:after="0" w:line="240" w:lineRule="auto"/>
        <w:jc w:val="both"/>
        <w:rPr>
          <w:rFonts w:cs="Arial"/>
        </w:rPr>
      </w:pPr>
      <w:r w:rsidRPr="008C46CC">
        <w:rPr>
          <w:rFonts w:cs="Arial"/>
        </w:rPr>
        <w:lastRenderedPageBreak/>
        <w:t>Remarks column should include brief and concise explanation or justification if the agency’s target for FY 201</w:t>
      </w:r>
      <w:r w:rsidR="006354E9" w:rsidRPr="008C46CC">
        <w:rPr>
          <w:rFonts w:cs="Arial"/>
        </w:rPr>
        <w:t>7</w:t>
      </w:r>
      <w:r w:rsidR="006662E9" w:rsidRPr="008C46CC">
        <w:rPr>
          <w:rFonts w:cs="Arial"/>
        </w:rPr>
        <w:t xml:space="preserve"> is not met. </w:t>
      </w:r>
      <w:r w:rsidRPr="008C46CC">
        <w:rPr>
          <w:rFonts w:cs="Arial"/>
        </w:rPr>
        <w:t>Supporting document may be provided to further expound the given explanation/justification.  Remarks column may also contain additional information (i.e. computation, percentage, and/or absolute figures) regarding the target and/or accomplishment.</w:t>
      </w:r>
    </w:p>
    <w:sectPr w:rsidR="00292C81" w:rsidRPr="008C46CC" w:rsidSect="00A3527A">
      <w:footerReference w:type="default" r:id="rId10"/>
      <w:pgSz w:w="12240" w:h="15840"/>
      <w:pgMar w:top="1440" w:right="1080" w:bottom="1440" w:left="72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A1" w:rsidRDefault="003D2BA1" w:rsidP="007F44F7">
      <w:pPr>
        <w:spacing w:after="0" w:line="240" w:lineRule="auto"/>
      </w:pPr>
      <w:r>
        <w:separator/>
      </w:r>
    </w:p>
  </w:endnote>
  <w:endnote w:type="continuationSeparator" w:id="0">
    <w:p w:rsidR="003D2BA1" w:rsidRDefault="003D2BA1" w:rsidP="007F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965629"/>
      <w:docPartObj>
        <w:docPartGallery w:val="Page Numbers (Bottom of Page)"/>
        <w:docPartUnique/>
      </w:docPartObj>
    </w:sdtPr>
    <w:sdtEndPr/>
    <w:sdtContent>
      <w:sdt>
        <w:sdtPr>
          <w:id w:val="860082579"/>
          <w:docPartObj>
            <w:docPartGallery w:val="Page Numbers (Top of Page)"/>
            <w:docPartUnique/>
          </w:docPartObj>
        </w:sdtPr>
        <w:sdtEndPr/>
        <w:sdtContent>
          <w:p w:rsidR="00F60700" w:rsidRPr="00F60700" w:rsidRDefault="00F60700">
            <w:pPr>
              <w:pStyle w:val="Footer"/>
              <w:jc w:val="right"/>
              <w:rPr>
                <w:b/>
                <w:bCs/>
                <w:sz w:val="20"/>
                <w:szCs w:val="20"/>
              </w:rPr>
            </w:pPr>
            <w:r w:rsidRPr="00F60700">
              <w:rPr>
                <w:sz w:val="20"/>
                <w:szCs w:val="20"/>
              </w:rPr>
              <w:t xml:space="preserve">Page </w:t>
            </w:r>
            <w:r w:rsidRPr="00F60700">
              <w:rPr>
                <w:b/>
                <w:bCs/>
                <w:sz w:val="20"/>
                <w:szCs w:val="20"/>
              </w:rPr>
              <w:fldChar w:fldCharType="begin"/>
            </w:r>
            <w:r w:rsidRPr="00F60700">
              <w:rPr>
                <w:b/>
                <w:bCs/>
                <w:sz w:val="20"/>
                <w:szCs w:val="20"/>
              </w:rPr>
              <w:instrText xml:space="preserve"> PAGE </w:instrText>
            </w:r>
            <w:r w:rsidRPr="00F60700">
              <w:rPr>
                <w:b/>
                <w:bCs/>
                <w:sz w:val="20"/>
                <w:szCs w:val="20"/>
              </w:rPr>
              <w:fldChar w:fldCharType="separate"/>
            </w:r>
            <w:r w:rsidR="00D152C3">
              <w:rPr>
                <w:b/>
                <w:bCs/>
                <w:noProof/>
                <w:sz w:val="20"/>
                <w:szCs w:val="20"/>
              </w:rPr>
              <w:t>2</w:t>
            </w:r>
            <w:r w:rsidRPr="00F60700">
              <w:rPr>
                <w:b/>
                <w:bCs/>
                <w:sz w:val="20"/>
                <w:szCs w:val="20"/>
              </w:rPr>
              <w:fldChar w:fldCharType="end"/>
            </w:r>
            <w:r w:rsidRPr="00F60700">
              <w:rPr>
                <w:sz w:val="20"/>
                <w:szCs w:val="20"/>
              </w:rPr>
              <w:t xml:space="preserve"> of </w:t>
            </w:r>
            <w:r w:rsidRPr="00F60700">
              <w:rPr>
                <w:b/>
                <w:bCs/>
                <w:sz w:val="20"/>
                <w:szCs w:val="20"/>
              </w:rPr>
              <w:fldChar w:fldCharType="begin"/>
            </w:r>
            <w:r w:rsidRPr="00F60700">
              <w:rPr>
                <w:b/>
                <w:bCs/>
                <w:sz w:val="20"/>
                <w:szCs w:val="20"/>
              </w:rPr>
              <w:instrText xml:space="preserve"> NUMPAGES  </w:instrText>
            </w:r>
            <w:r w:rsidRPr="00F60700">
              <w:rPr>
                <w:b/>
                <w:bCs/>
                <w:sz w:val="20"/>
                <w:szCs w:val="20"/>
              </w:rPr>
              <w:fldChar w:fldCharType="separate"/>
            </w:r>
            <w:r w:rsidR="00D152C3">
              <w:rPr>
                <w:b/>
                <w:bCs/>
                <w:noProof/>
                <w:sz w:val="20"/>
                <w:szCs w:val="20"/>
              </w:rPr>
              <w:t>4</w:t>
            </w:r>
            <w:r w:rsidRPr="00F60700">
              <w:rPr>
                <w:b/>
                <w:bCs/>
                <w:sz w:val="20"/>
                <w:szCs w:val="20"/>
              </w:rPr>
              <w:fldChar w:fldCharType="end"/>
            </w:r>
          </w:p>
          <w:p w:rsidR="00F60700" w:rsidRDefault="00F60700">
            <w:pPr>
              <w:pStyle w:val="Footer"/>
              <w:jc w:val="right"/>
            </w:pPr>
            <w:r w:rsidRPr="00F60700">
              <w:rPr>
                <w:bCs/>
                <w:sz w:val="20"/>
                <w:szCs w:val="20"/>
              </w:rPr>
              <w:t xml:space="preserve">Annex </w:t>
            </w:r>
            <w:r w:rsidR="00720F79">
              <w:rPr>
                <w:bCs/>
                <w:sz w:val="20"/>
                <w:szCs w:val="20"/>
              </w:rPr>
              <w:t>2</w:t>
            </w:r>
          </w:p>
        </w:sdtContent>
      </w:sdt>
    </w:sdtContent>
  </w:sdt>
  <w:p w:rsidR="00A3527A" w:rsidRDefault="00A35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00" w:rsidRPr="00F60700" w:rsidRDefault="00292C81" w:rsidP="00F60700">
    <w:pPr>
      <w:pStyle w:val="Footer"/>
      <w:jc w:val="right"/>
      <w:rPr>
        <w:b/>
        <w:bCs/>
        <w:sz w:val="20"/>
        <w:szCs w:val="20"/>
      </w:rPr>
    </w:pPr>
    <w:r>
      <w:rPr>
        <w:sz w:val="20"/>
        <w:szCs w:val="20"/>
      </w:rPr>
      <w:t>Notes</w:t>
    </w:r>
  </w:p>
  <w:p w:rsidR="00A3527A" w:rsidRDefault="00F60700" w:rsidP="00F60700">
    <w:pPr>
      <w:pStyle w:val="Footer"/>
      <w:pBdr>
        <w:top w:val="single" w:sz="4" w:space="1" w:color="D9D9D9" w:themeColor="background1" w:themeShade="D9"/>
      </w:pBdr>
      <w:jc w:val="right"/>
    </w:pPr>
    <w:r w:rsidRPr="00F60700">
      <w:rPr>
        <w:bCs/>
        <w:sz w:val="20"/>
        <w:szCs w:val="20"/>
      </w:rPr>
      <w:t>Annex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A1" w:rsidRDefault="003D2BA1" w:rsidP="007F44F7">
      <w:pPr>
        <w:spacing w:after="0" w:line="240" w:lineRule="auto"/>
      </w:pPr>
      <w:r>
        <w:separator/>
      </w:r>
    </w:p>
  </w:footnote>
  <w:footnote w:type="continuationSeparator" w:id="0">
    <w:p w:rsidR="003D2BA1" w:rsidRDefault="003D2BA1" w:rsidP="007F4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E94"/>
    <w:multiLevelType w:val="hybridMultilevel"/>
    <w:tmpl w:val="0654217C"/>
    <w:lvl w:ilvl="0" w:tplc="D43EDC00">
      <w:start w:val="1"/>
      <w:numFmt w:val="upperLetter"/>
      <w:lvlText w:val="%1."/>
      <w:lvlJc w:val="left"/>
      <w:pPr>
        <w:ind w:left="720" w:hanging="360"/>
      </w:pPr>
      <w:rPr>
        <w:rFonts w:hint="default"/>
        <w:b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A9219C1"/>
    <w:multiLevelType w:val="hybridMultilevel"/>
    <w:tmpl w:val="543AB090"/>
    <w:lvl w:ilvl="0" w:tplc="167E3C5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22621A5"/>
    <w:multiLevelType w:val="hybridMultilevel"/>
    <w:tmpl w:val="D060736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1867AB1"/>
    <w:multiLevelType w:val="hybridMultilevel"/>
    <w:tmpl w:val="74A0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36F8A"/>
    <w:multiLevelType w:val="hybridMultilevel"/>
    <w:tmpl w:val="33549182"/>
    <w:lvl w:ilvl="0" w:tplc="C2688176">
      <w:start w:val="1"/>
      <w:numFmt w:val="decimal"/>
      <w:lvlText w:val="(%1)"/>
      <w:lvlJc w:val="left"/>
      <w:pPr>
        <w:ind w:left="720" w:hanging="360"/>
      </w:pPr>
      <w:rPr>
        <w:rFonts w:hint="default"/>
        <w:color w:val="FF000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779218F"/>
    <w:multiLevelType w:val="multilevel"/>
    <w:tmpl w:val="0BCC0420"/>
    <w:lvl w:ilvl="0">
      <w:start w:val="1"/>
      <w:numFmt w:val="decimal"/>
      <w:lvlText w:val="%1.0"/>
      <w:lvlJc w:val="left"/>
      <w:pPr>
        <w:tabs>
          <w:tab w:val="num" w:pos="36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sz w:val="20"/>
        <w:szCs w:val="20"/>
      </w:rPr>
    </w:lvl>
    <w:lvl w:ilvl="2">
      <w:start w:val="1"/>
      <w:numFmt w:val="lowerLetter"/>
      <w:lvlText w:val="%3."/>
      <w:lvlJc w:val="left"/>
      <w:pPr>
        <w:tabs>
          <w:tab w:val="num" w:pos="2160"/>
        </w:tabs>
        <w:ind w:left="2160" w:hanging="720"/>
      </w:pPr>
      <w:rPr>
        <w:rFonts w:ascii="Arial" w:eastAsia="Times New Roman" w:hAnsi="Arial" w:cs="Times New Roman" w:hint="default"/>
      </w:rPr>
    </w:lvl>
    <w:lvl w:ilvl="3">
      <w:start w:val="1"/>
      <w:numFmt w:val="decimal"/>
      <w:lvlText w:val="%3.%4."/>
      <w:lvlJc w:val="left"/>
      <w:pPr>
        <w:tabs>
          <w:tab w:val="num" w:pos="324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4C4F4518"/>
    <w:multiLevelType w:val="multilevel"/>
    <w:tmpl w:val="0BCC0420"/>
    <w:lvl w:ilvl="0">
      <w:start w:val="1"/>
      <w:numFmt w:val="decimal"/>
      <w:lvlText w:val="%1.0"/>
      <w:lvlJc w:val="left"/>
      <w:pPr>
        <w:tabs>
          <w:tab w:val="num" w:pos="36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b w:val="0"/>
        <w:i w:val="0"/>
        <w:sz w:val="20"/>
        <w:szCs w:val="20"/>
      </w:rPr>
    </w:lvl>
    <w:lvl w:ilvl="2">
      <w:start w:val="1"/>
      <w:numFmt w:val="lowerLetter"/>
      <w:lvlText w:val="%3."/>
      <w:lvlJc w:val="left"/>
      <w:pPr>
        <w:tabs>
          <w:tab w:val="num" w:pos="2160"/>
        </w:tabs>
        <w:ind w:left="2160" w:hanging="720"/>
      </w:pPr>
      <w:rPr>
        <w:rFonts w:ascii="Arial" w:eastAsia="Times New Roman" w:hAnsi="Arial" w:cs="Times New Roman" w:hint="default"/>
      </w:rPr>
    </w:lvl>
    <w:lvl w:ilvl="3">
      <w:start w:val="1"/>
      <w:numFmt w:val="decimal"/>
      <w:lvlText w:val="%3.%4."/>
      <w:lvlJc w:val="left"/>
      <w:pPr>
        <w:tabs>
          <w:tab w:val="num" w:pos="324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50337F24"/>
    <w:multiLevelType w:val="hybridMultilevel"/>
    <w:tmpl w:val="CB667B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42E2194"/>
    <w:multiLevelType w:val="hybridMultilevel"/>
    <w:tmpl w:val="5FE441E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6E97EF0"/>
    <w:multiLevelType w:val="hybridMultilevel"/>
    <w:tmpl w:val="93C21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D01AB"/>
    <w:multiLevelType w:val="hybridMultilevel"/>
    <w:tmpl w:val="AEB014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61025456"/>
    <w:multiLevelType w:val="hybridMultilevel"/>
    <w:tmpl w:val="5B902E12"/>
    <w:lvl w:ilvl="0" w:tplc="D49AAEFC">
      <w:start w:val="1"/>
      <w:numFmt w:val="upperRoman"/>
      <w:lvlText w:val="%1."/>
      <w:lvlJc w:val="left"/>
      <w:pPr>
        <w:ind w:left="1080" w:hanging="720"/>
      </w:pPr>
      <w:rPr>
        <w:rFonts w:hint="default"/>
        <w:b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AAE50C2"/>
    <w:multiLevelType w:val="hybridMultilevel"/>
    <w:tmpl w:val="3A2897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ED77626"/>
    <w:multiLevelType w:val="hybridMultilevel"/>
    <w:tmpl w:val="A38E25B4"/>
    <w:lvl w:ilvl="0" w:tplc="07E08C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E532C"/>
    <w:multiLevelType w:val="hybridMultilevel"/>
    <w:tmpl w:val="EAFC4E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0"/>
  </w:num>
  <w:num w:numId="5">
    <w:abstractNumId w:val="7"/>
  </w:num>
  <w:num w:numId="6">
    <w:abstractNumId w:val="11"/>
  </w:num>
  <w:num w:numId="7">
    <w:abstractNumId w:val="1"/>
  </w:num>
  <w:num w:numId="8">
    <w:abstractNumId w:val="10"/>
  </w:num>
  <w:num w:numId="9">
    <w:abstractNumId w:val="14"/>
  </w:num>
  <w:num w:numId="10">
    <w:abstractNumId w:val="4"/>
  </w:num>
  <w:num w:numId="11">
    <w:abstractNumId w:val="6"/>
  </w:num>
  <w:num w:numId="12">
    <w:abstractNumId w:val="5"/>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00"/>
    <w:rsid w:val="00001108"/>
    <w:rsid w:val="00036107"/>
    <w:rsid w:val="000504DA"/>
    <w:rsid w:val="0006134B"/>
    <w:rsid w:val="000703EA"/>
    <w:rsid w:val="00091960"/>
    <w:rsid w:val="000D1698"/>
    <w:rsid w:val="000D34F4"/>
    <w:rsid w:val="000D6F55"/>
    <w:rsid w:val="000E4941"/>
    <w:rsid w:val="000F050D"/>
    <w:rsid w:val="000F11D1"/>
    <w:rsid w:val="000F161F"/>
    <w:rsid w:val="00116406"/>
    <w:rsid w:val="001512C8"/>
    <w:rsid w:val="001761E9"/>
    <w:rsid w:val="00186848"/>
    <w:rsid w:val="001E3463"/>
    <w:rsid w:val="001F3788"/>
    <w:rsid w:val="002055E7"/>
    <w:rsid w:val="002069CE"/>
    <w:rsid w:val="00241127"/>
    <w:rsid w:val="00251C64"/>
    <w:rsid w:val="0026389D"/>
    <w:rsid w:val="00266FD1"/>
    <w:rsid w:val="002709D2"/>
    <w:rsid w:val="00290C68"/>
    <w:rsid w:val="00292C81"/>
    <w:rsid w:val="0029554E"/>
    <w:rsid w:val="002A4421"/>
    <w:rsid w:val="002D57FA"/>
    <w:rsid w:val="002D5AB1"/>
    <w:rsid w:val="00307B22"/>
    <w:rsid w:val="00310DE2"/>
    <w:rsid w:val="0033315D"/>
    <w:rsid w:val="0035745D"/>
    <w:rsid w:val="003634CE"/>
    <w:rsid w:val="0037467F"/>
    <w:rsid w:val="003D2BA1"/>
    <w:rsid w:val="003F0F0B"/>
    <w:rsid w:val="003F2DFF"/>
    <w:rsid w:val="003F4DA4"/>
    <w:rsid w:val="00433D40"/>
    <w:rsid w:val="00443F4B"/>
    <w:rsid w:val="00453B5F"/>
    <w:rsid w:val="00490160"/>
    <w:rsid w:val="004C5108"/>
    <w:rsid w:val="00562E79"/>
    <w:rsid w:val="00585738"/>
    <w:rsid w:val="0058682F"/>
    <w:rsid w:val="005951BC"/>
    <w:rsid w:val="005B0EDB"/>
    <w:rsid w:val="005E1CEB"/>
    <w:rsid w:val="006354E9"/>
    <w:rsid w:val="006508BA"/>
    <w:rsid w:val="0065168C"/>
    <w:rsid w:val="00653BED"/>
    <w:rsid w:val="00665AC9"/>
    <w:rsid w:val="006662E9"/>
    <w:rsid w:val="00666751"/>
    <w:rsid w:val="0066686F"/>
    <w:rsid w:val="006735DC"/>
    <w:rsid w:val="00685AD3"/>
    <w:rsid w:val="006B388E"/>
    <w:rsid w:val="006F3CD0"/>
    <w:rsid w:val="00707C8B"/>
    <w:rsid w:val="00711E99"/>
    <w:rsid w:val="00720F79"/>
    <w:rsid w:val="00735778"/>
    <w:rsid w:val="00737E38"/>
    <w:rsid w:val="007A11E3"/>
    <w:rsid w:val="007A5D61"/>
    <w:rsid w:val="007B2F2B"/>
    <w:rsid w:val="007C01F0"/>
    <w:rsid w:val="007C0F4F"/>
    <w:rsid w:val="007D0432"/>
    <w:rsid w:val="007D220C"/>
    <w:rsid w:val="007F44F7"/>
    <w:rsid w:val="008254E6"/>
    <w:rsid w:val="00853B42"/>
    <w:rsid w:val="008B1824"/>
    <w:rsid w:val="008B2AA1"/>
    <w:rsid w:val="008C46CC"/>
    <w:rsid w:val="008E3136"/>
    <w:rsid w:val="008E3531"/>
    <w:rsid w:val="008F0310"/>
    <w:rsid w:val="008F0E6E"/>
    <w:rsid w:val="0090327F"/>
    <w:rsid w:val="00924DF6"/>
    <w:rsid w:val="00933088"/>
    <w:rsid w:val="009538D9"/>
    <w:rsid w:val="009A6710"/>
    <w:rsid w:val="009D657E"/>
    <w:rsid w:val="009E1D8E"/>
    <w:rsid w:val="009F351D"/>
    <w:rsid w:val="009F798B"/>
    <w:rsid w:val="00A26BC0"/>
    <w:rsid w:val="00A3527A"/>
    <w:rsid w:val="00A6391B"/>
    <w:rsid w:val="00A66D05"/>
    <w:rsid w:val="00A81505"/>
    <w:rsid w:val="00AA1CA5"/>
    <w:rsid w:val="00AB0C63"/>
    <w:rsid w:val="00AC6CB4"/>
    <w:rsid w:val="00AF5A02"/>
    <w:rsid w:val="00B00FD4"/>
    <w:rsid w:val="00B04A94"/>
    <w:rsid w:val="00B07369"/>
    <w:rsid w:val="00B13FD3"/>
    <w:rsid w:val="00B46A0B"/>
    <w:rsid w:val="00B46C6D"/>
    <w:rsid w:val="00B724A5"/>
    <w:rsid w:val="00B83017"/>
    <w:rsid w:val="00B91DA6"/>
    <w:rsid w:val="00B94EAA"/>
    <w:rsid w:val="00BA024C"/>
    <w:rsid w:val="00BC4433"/>
    <w:rsid w:val="00BF3820"/>
    <w:rsid w:val="00C1281C"/>
    <w:rsid w:val="00C3393A"/>
    <w:rsid w:val="00C57AD7"/>
    <w:rsid w:val="00C6173D"/>
    <w:rsid w:val="00C645AB"/>
    <w:rsid w:val="00CC0CAE"/>
    <w:rsid w:val="00CD3678"/>
    <w:rsid w:val="00CF59C4"/>
    <w:rsid w:val="00D00E18"/>
    <w:rsid w:val="00D152C3"/>
    <w:rsid w:val="00D243FD"/>
    <w:rsid w:val="00D62207"/>
    <w:rsid w:val="00D900B2"/>
    <w:rsid w:val="00D925D9"/>
    <w:rsid w:val="00DD3B12"/>
    <w:rsid w:val="00E02A58"/>
    <w:rsid w:val="00E04ABA"/>
    <w:rsid w:val="00E10413"/>
    <w:rsid w:val="00E13A34"/>
    <w:rsid w:val="00E1664D"/>
    <w:rsid w:val="00E2207F"/>
    <w:rsid w:val="00E54308"/>
    <w:rsid w:val="00E96956"/>
    <w:rsid w:val="00E97900"/>
    <w:rsid w:val="00EA367B"/>
    <w:rsid w:val="00EA7998"/>
    <w:rsid w:val="00EB2DF4"/>
    <w:rsid w:val="00EB6199"/>
    <w:rsid w:val="00EC3AB7"/>
    <w:rsid w:val="00F14C00"/>
    <w:rsid w:val="00F16721"/>
    <w:rsid w:val="00F17E01"/>
    <w:rsid w:val="00F22E01"/>
    <w:rsid w:val="00F3721A"/>
    <w:rsid w:val="00F54144"/>
    <w:rsid w:val="00F60700"/>
    <w:rsid w:val="00F6308D"/>
    <w:rsid w:val="00F63C62"/>
    <w:rsid w:val="00F76F00"/>
    <w:rsid w:val="00F93871"/>
    <w:rsid w:val="00FA379A"/>
    <w:rsid w:val="00FA6CF5"/>
    <w:rsid w:val="00FC17CF"/>
    <w:rsid w:val="00FC2458"/>
    <w:rsid w:val="00FF3C8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00"/>
    <w:rPr>
      <w:rFonts w:ascii="Tahoma" w:hAnsi="Tahoma" w:cs="Tahoma"/>
      <w:sz w:val="16"/>
      <w:szCs w:val="16"/>
    </w:rPr>
  </w:style>
  <w:style w:type="table" w:styleId="TableGrid">
    <w:name w:val="Table Grid"/>
    <w:basedOn w:val="TableNormal"/>
    <w:uiPriority w:val="59"/>
    <w:rsid w:val="00E979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BF3820"/>
    <w:pPr>
      <w:ind w:left="720"/>
      <w:contextualSpacing/>
    </w:pPr>
  </w:style>
  <w:style w:type="paragraph" w:styleId="EndnoteText">
    <w:name w:val="endnote text"/>
    <w:basedOn w:val="Normal"/>
    <w:link w:val="EndnoteTextChar"/>
    <w:uiPriority w:val="99"/>
    <w:semiHidden/>
    <w:unhideWhenUsed/>
    <w:rsid w:val="007F4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4F7"/>
    <w:rPr>
      <w:sz w:val="20"/>
      <w:szCs w:val="20"/>
    </w:rPr>
  </w:style>
  <w:style w:type="character" w:styleId="EndnoteReference">
    <w:name w:val="endnote reference"/>
    <w:basedOn w:val="DefaultParagraphFont"/>
    <w:uiPriority w:val="99"/>
    <w:semiHidden/>
    <w:unhideWhenUsed/>
    <w:rsid w:val="007F44F7"/>
    <w:rPr>
      <w:vertAlign w:val="superscript"/>
    </w:rPr>
  </w:style>
  <w:style w:type="character" w:styleId="CommentReference">
    <w:name w:val="annotation reference"/>
    <w:rsid w:val="00186848"/>
    <w:rPr>
      <w:rFonts w:cs="Times New Roman"/>
      <w:sz w:val="16"/>
      <w:szCs w:val="16"/>
    </w:rPr>
  </w:style>
  <w:style w:type="paragraph" w:styleId="CommentText">
    <w:name w:val="annotation text"/>
    <w:basedOn w:val="Normal"/>
    <w:link w:val="CommentTextChar"/>
    <w:uiPriority w:val="99"/>
    <w:semiHidden/>
    <w:rsid w:val="00186848"/>
    <w:rPr>
      <w:rFonts w:ascii="Calibri" w:eastAsia="Times New Roman" w:hAnsi="Calibri" w:cs="Calibri"/>
      <w:sz w:val="20"/>
      <w:szCs w:val="20"/>
      <w:lang w:eastAsia="ja-JP"/>
    </w:rPr>
  </w:style>
  <w:style w:type="character" w:customStyle="1" w:styleId="CommentTextChar">
    <w:name w:val="Comment Text Char"/>
    <w:basedOn w:val="DefaultParagraphFont"/>
    <w:link w:val="CommentText"/>
    <w:uiPriority w:val="99"/>
    <w:semiHidden/>
    <w:rsid w:val="00186848"/>
    <w:rPr>
      <w:rFonts w:ascii="Calibri" w:eastAsia="Times New Roman" w:hAnsi="Calibri" w:cs="Calibri"/>
      <w:sz w:val="20"/>
      <w:szCs w:val="20"/>
      <w:lang w:eastAsia="ja-JP"/>
    </w:rPr>
  </w:style>
  <w:style w:type="paragraph" w:styleId="NoSpacing">
    <w:name w:val="No Spacing"/>
    <w:uiPriority w:val="1"/>
    <w:qFormat/>
    <w:rsid w:val="00853B42"/>
    <w:pPr>
      <w:spacing w:after="0" w:line="240" w:lineRule="auto"/>
    </w:pPr>
  </w:style>
  <w:style w:type="paragraph" w:styleId="Header">
    <w:name w:val="header"/>
    <w:basedOn w:val="Normal"/>
    <w:link w:val="HeaderChar"/>
    <w:uiPriority w:val="99"/>
    <w:unhideWhenUsed/>
    <w:rsid w:val="00A3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7A"/>
  </w:style>
  <w:style w:type="paragraph" w:styleId="Footer">
    <w:name w:val="footer"/>
    <w:basedOn w:val="Normal"/>
    <w:link w:val="FooterChar"/>
    <w:uiPriority w:val="99"/>
    <w:unhideWhenUsed/>
    <w:rsid w:val="00A3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00"/>
    <w:rPr>
      <w:rFonts w:ascii="Tahoma" w:hAnsi="Tahoma" w:cs="Tahoma"/>
      <w:sz w:val="16"/>
      <w:szCs w:val="16"/>
    </w:rPr>
  </w:style>
  <w:style w:type="table" w:styleId="TableGrid">
    <w:name w:val="Table Grid"/>
    <w:basedOn w:val="TableNormal"/>
    <w:uiPriority w:val="59"/>
    <w:rsid w:val="00E979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BF3820"/>
    <w:pPr>
      <w:ind w:left="720"/>
      <w:contextualSpacing/>
    </w:pPr>
  </w:style>
  <w:style w:type="paragraph" w:styleId="EndnoteText">
    <w:name w:val="endnote text"/>
    <w:basedOn w:val="Normal"/>
    <w:link w:val="EndnoteTextChar"/>
    <w:uiPriority w:val="99"/>
    <w:semiHidden/>
    <w:unhideWhenUsed/>
    <w:rsid w:val="007F4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4F7"/>
    <w:rPr>
      <w:sz w:val="20"/>
      <w:szCs w:val="20"/>
    </w:rPr>
  </w:style>
  <w:style w:type="character" w:styleId="EndnoteReference">
    <w:name w:val="endnote reference"/>
    <w:basedOn w:val="DefaultParagraphFont"/>
    <w:uiPriority w:val="99"/>
    <w:semiHidden/>
    <w:unhideWhenUsed/>
    <w:rsid w:val="007F44F7"/>
    <w:rPr>
      <w:vertAlign w:val="superscript"/>
    </w:rPr>
  </w:style>
  <w:style w:type="character" w:styleId="CommentReference">
    <w:name w:val="annotation reference"/>
    <w:rsid w:val="00186848"/>
    <w:rPr>
      <w:rFonts w:cs="Times New Roman"/>
      <w:sz w:val="16"/>
      <w:szCs w:val="16"/>
    </w:rPr>
  </w:style>
  <w:style w:type="paragraph" w:styleId="CommentText">
    <w:name w:val="annotation text"/>
    <w:basedOn w:val="Normal"/>
    <w:link w:val="CommentTextChar"/>
    <w:uiPriority w:val="99"/>
    <w:semiHidden/>
    <w:rsid w:val="00186848"/>
    <w:rPr>
      <w:rFonts w:ascii="Calibri" w:eastAsia="Times New Roman" w:hAnsi="Calibri" w:cs="Calibri"/>
      <w:sz w:val="20"/>
      <w:szCs w:val="20"/>
      <w:lang w:eastAsia="ja-JP"/>
    </w:rPr>
  </w:style>
  <w:style w:type="character" w:customStyle="1" w:styleId="CommentTextChar">
    <w:name w:val="Comment Text Char"/>
    <w:basedOn w:val="DefaultParagraphFont"/>
    <w:link w:val="CommentText"/>
    <w:uiPriority w:val="99"/>
    <w:semiHidden/>
    <w:rsid w:val="00186848"/>
    <w:rPr>
      <w:rFonts w:ascii="Calibri" w:eastAsia="Times New Roman" w:hAnsi="Calibri" w:cs="Calibri"/>
      <w:sz w:val="20"/>
      <w:szCs w:val="20"/>
      <w:lang w:eastAsia="ja-JP"/>
    </w:rPr>
  </w:style>
  <w:style w:type="paragraph" w:styleId="NoSpacing">
    <w:name w:val="No Spacing"/>
    <w:uiPriority w:val="1"/>
    <w:qFormat/>
    <w:rsid w:val="00853B42"/>
    <w:pPr>
      <w:spacing w:after="0" w:line="240" w:lineRule="auto"/>
    </w:pPr>
  </w:style>
  <w:style w:type="paragraph" w:styleId="Header">
    <w:name w:val="header"/>
    <w:basedOn w:val="Normal"/>
    <w:link w:val="HeaderChar"/>
    <w:uiPriority w:val="99"/>
    <w:unhideWhenUsed/>
    <w:rsid w:val="00A3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7A"/>
  </w:style>
  <w:style w:type="paragraph" w:styleId="Footer">
    <w:name w:val="footer"/>
    <w:basedOn w:val="Normal"/>
    <w:link w:val="FooterChar"/>
    <w:uiPriority w:val="99"/>
    <w:unhideWhenUsed/>
    <w:rsid w:val="00A3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7CD31-8B37-4333-AD96-EDDCF60F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cfg-netbook</dc:creator>
  <cp:lastModifiedBy>MRAA</cp:lastModifiedBy>
  <cp:revision>2</cp:revision>
  <cp:lastPrinted>2016-05-06T06:03:00Z</cp:lastPrinted>
  <dcterms:created xsi:type="dcterms:W3CDTF">2017-02-28T07:12:00Z</dcterms:created>
  <dcterms:modified xsi:type="dcterms:W3CDTF">2017-02-28T07:12:00Z</dcterms:modified>
</cp:coreProperties>
</file>