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93" w:rsidRPr="00C41DDD" w:rsidRDefault="00B24A93" w:rsidP="00B24A93">
      <w:pPr>
        <w:spacing w:after="0" w:line="240" w:lineRule="auto"/>
        <w:jc w:val="center"/>
        <w:outlineLvl w:val="0"/>
        <w:rPr>
          <w:rFonts w:cs="Arial"/>
        </w:rPr>
      </w:pPr>
      <w:bookmarkStart w:id="0" w:name="_GoBack"/>
      <w:bookmarkEnd w:id="0"/>
    </w:p>
    <w:p w:rsidR="00B24A93" w:rsidRPr="00C41DDD" w:rsidRDefault="00B24A93" w:rsidP="00B24A93">
      <w:pPr>
        <w:spacing w:after="0" w:line="240" w:lineRule="auto"/>
        <w:outlineLvl w:val="0"/>
        <w:rPr>
          <w:rFonts w:cs="Arial"/>
          <w:i/>
        </w:rPr>
      </w:pPr>
      <w:r w:rsidRPr="00C41DDD">
        <w:rPr>
          <w:rFonts w:cs="Arial"/>
          <w:i/>
        </w:rPr>
        <w:t>AO 25 TWG Members</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Undersecretary Richard E. Moya, DBM</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Assistant Secretary Myrna S. Chua, DBM</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Assistant Secretary Eddie M. Nuque, OP-OES</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Director Aniceto I. Maghirang, OP-OCS</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Assistant Secretary Guillerma E. Flores, PMS</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Assistant Secretary Ana Maria A. Cadena, PMS</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Director Jennifer Tan, DOF</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Commissioner Nieves L. Osorio, CSC</w:t>
      </w:r>
    </w:p>
    <w:p w:rsidR="00B24A93" w:rsidRPr="00C41DDD" w:rsidRDefault="00B24A93" w:rsidP="008D0A27">
      <w:pPr>
        <w:pStyle w:val="ListParagraph"/>
        <w:numPr>
          <w:ilvl w:val="0"/>
          <w:numId w:val="1"/>
        </w:numPr>
        <w:spacing w:after="0" w:line="240" w:lineRule="auto"/>
        <w:outlineLvl w:val="0"/>
        <w:rPr>
          <w:rFonts w:cs="Arial"/>
        </w:rPr>
      </w:pPr>
      <w:r w:rsidRPr="00C41DDD">
        <w:rPr>
          <w:rFonts w:cs="Arial"/>
        </w:rPr>
        <w:t>Atty. Alan R. Cañares, Office of the Ombudsman</w:t>
      </w:r>
    </w:p>
    <w:p w:rsidR="008027DC" w:rsidRDefault="008027DC" w:rsidP="008D0A27">
      <w:pPr>
        <w:pStyle w:val="ListParagraph"/>
        <w:numPr>
          <w:ilvl w:val="0"/>
          <w:numId w:val="1"/>
        </w:numPr>
        <w:spacing w:after="0" w:line="240" w:lineRule="auto"/>
        <w:outlineLvl w:val="0"/>
        <w:rPr>
          <w:rFonts w:cs="Arial"/>
        </w:rPr>
      </w:pPr>
      <w:r w:rsidRPr="00C41DDD">
        <w:rPr>
          <w:rFonts w:cs="Arial"/>
        </w:rPr>
        <w:t>SVP Magdalena L. Mendoza, DAP</w:t>
      </w:r>
    </w:p>
    <w:p w:rsidR="00EC4767" w:rsidRDefault="00EC4767" w:rsidP="00EC4767">
      <w:pPr>
        <w:pStyle w:val="ListParagraph"/>
        <w:numPr>
          <w:ilvl w:val="0"/>
          <w:numId w:val="1"/>
        </w:numPr>
        <w:spacing w:after="0" w:line="240" w:lineRule="auto"/>
        <w:outlineLvl w:val="0"/>
        <w:rPr>
          <w:rFonts w:cs="Arial"/>
        </w:rPr>
      </w:pPr>
      <w:r w:rsidRPr="00C41DDD">
        <w:rPr>
          <w:rFonts w:cs="Arial"/>
        </w:rPr>
        <w:t>Ms. Giselle Durana, CESB</w:t>
      </w:r>
    </w:p>
    <w:p w:rsidR="00EC4767" w:rsidRPr="00C41DDD" w:rsidRDefault="00EC4767" w:rsidP="00EC4767">
      <w:pPr>
        <w:pStyle w:val="ListParagraph"/>
        <w:numPr>
          <w:ilvl w:val="0"/>
          <w:numId w:val="1"/>
        </w:numPr>
        <w:spacing w:after="0" w:line="240" w:lineRule="auto"/>
        <w:outlineLvl w:val="0"/>
        <w:rPr>
          <w:rFonts w:cs="Arial"/>
        </w:rPr>
      </w:pPr>
      <w:r w:rsidRPr="00C41DDD">
        <w:rPr>
          <w:rFonts w:cs="Arial"/>
        </w:rPr>
        <w:t>Atty. Gerald James B. Reyes, GCG</w:t>
      </w:r>
    </w:p>
    <w:p w:rsidR="00EC4767" w:rsidRPr="00EC4767" w:rsidRDefault="00EC4767" w:rsidP="00EC4767">
      <w:pPr>
        <w:pStyle w:val="ListParagraph"/>
        <w:numPr>
          <w:ilvl w:val="0"/>
          <w:numId w:val="1"/>
        </w:numPr>
        <w:spacing w:after="0" w:line="240" w:lineRule="auto"/>
        <w:outlineLvl w:val="0"/>
        <w:rPr>
          <w:rFonts w:cs="Arial"/>
        </w:rPr>
      </w:pPr>
      <w:r w:rsidRPr="00C41DDD">
        <w:rPr>
          <w:rFonts w:cs="Arial"/>
        </w:rPr>
        <w:t>Dir. Helene Grace Ramos, CSC</w:t>
      </w:r>
    </w:p>
    <w:p w:rsidR="00B24A93" w:rsidRPr="00C41DDD" w:rsidRDefault="00B24A93" w:rsidP="00B24A93">
      <w:pPr>
        <w:spacing w:after="0" w:line="240" w:lineRule="auto"/>
        <w:outlineLvl w:val="0"/>
        <w:rPr>
          <w:rFonts w:cs="Arial"/>
        </w:rPr>
      </w:pPr>
    </w:p>
    <w:p w:rsidR="00B24A93" w:rsidRPr="00C41DDD" w:rsidRDefault="00B24A93" w:rsidP="00B24A93">
      <w:pPr>
        <w:spacing w:after="0" w:line="240" w:lineRule="auto"/>
        <w:outlineLvl w:val="0"/>
        <w:rPr>
          <w:rFonts w:cs="Arial"/>
        </w:rPr>
      </w:pPr>
      <w:r w:rsidRPr="00C41DDD">
        <w:rPr>
          <w:rFonts w:cs="Arial"/>
        </w:rPr>
        <w:t>Validating Agencies</w:t>
      </w:r>
    </w:p>
    <w:p w:rsidR="00B24A93" w:rsidRPr="00C41DDD" w:rsidRDefault="00B24A93" w:rsidP="008D0A27">
      <w:pPr>
        <w:pStyle w:val="ListParagraph"/>
        <w:numPr>
          <w:ilvl w:val="0"/>
          <w:numId w:val="2"/>
        </w:numPr>
        <w:spacing w:after="0" w:line="240" w:lineRule="auto"/>
        <w:outlineLvl w:val="0"/>
        <w:rPr>
          <w:rFonts w:cs="Arial"/>
        </w:rPr>
      </w:pPr>
      <w:r w:rsidRPr="00C41DDD">
        <w:rPr>
          <w:rFonts w:cs="Arial"/>
        </w:rPr>
        <w:t>Director Alberto H. Kimpo, OP-OES</w:t>
      </w:r>
    </w:p>
    <w:p w:rsidR="00B24A93" w:rsidRPr="00C41DDD" w:rsidRDefault="00B24A93" w:rsidP="008D0A27">
      <w:pPr>
        <w:pStyle w:val="ListParagraph"/>
        <w:numPr>
          <w:ilvl w:val="0"/>
          <w:numId w:val="2"/>
        </w:numPr>
        <w:spacing w:after="0" w:line="240" w:lineRule="auto"/>
        <w:outlineLvl w:val="0"/>
        <w:rPr>
          <w:rFonts w:cs="Arial"/>
        </w:rPr>
      </w:pPr>
      <w:r w:rsidRPr="00C41DDD">
        <w:rPr>
          <w:rFonts w:cs="Arial"/>
        </w:rPr>
        <w:t>Ms. Venice Teodoro, LWUA</w:t>
      </w:r>
    </w:p>
    <w:p w:rsidR="00B24A93" w:rsidRPr="00C41DDD" w:rsidRDefault="00B24A93" w:rsidP="008D0A27">
      <w:pPr>
        <w:pStyle w:val="ListParagraph"/>
        <w:numPr>
          <w:ilvl w:val="0"/>
          <w:numId w:val="2"/>
        </w:numPr>
        <w:spacing w:after="0" w:line="240" w:lineRule="auto"/>
        <w:outlineLvl w:val="0"/>
        <w:rPr>
          <w:rFonts w:cs="Arial"/>
        </w:rPr>
      </w:pPr>
      <w:r w:rsidRPr="00C41DDD">
        <w:rPr>
          <w:rFonts w:cs="Arial"/>
        </w:rPr>
        <w:t>Ms. Agatha Bellatrix Calces, DBM</w:t>
      </w:r>
    </w:p>
    <w:p w:rsidR="00B24A93" w:rsidRPr="00C41DDD" w:rsidRDefault="00B24A93" w:rsidP="008D0A27">
      <w:pPr>
        <w:pStyle w:val="ListParagraph"/>
        <w:numPr>
          <w:ilvl w:val="0"/>
          <w:numId w:val="2"/>
        </w:numPr>
        <w:spacing w:after="0" w:line="240" w:lineRule="auto"/>
        <w:outlineLvl w:val="0"/>
        <w:rPr>
          <w:rFonts w:cs="Arial"/>
        </w:rPr>
      </w:pPr>
      <w:r w:rsidRPr="00C41DDD">
        <w:rPr>
          <w:rFonts w:cs="Arial"/>
        </w:rPr>
        <w:t>Ms. Elvie Balan, COA</w:t>
      </w:r>
    </w:p>
    <w:p w:rsidR="00B24A93" w:rsidRPr="00C41DDD" w:rsidRDefault="00B24A93" w:rsidP="008D0A27">
      <w:pPr>
        <w:pStyle w:val="ListParagraph"/>
        <w:numPr>
          <w:ilvl w:val="0"/>
          <w:numId w:val="2"/>
        </w:numPr>
        <w:spacing w:after="0" w:line="240" w:lineRule="auto"/>
        <w:outlineLvl w:val="0"/>
        <w:rPr>
          <w:rFonts w:cs="Arial"/>
        </w:rPr>
      </w:pPr>
      <w:r w:rsidRPr="00C41DDD">
        <w:rPr>
          <w:rFonts w:cs="Arial"/>
        </w:rPr>
        <w:t>Ms. Rosie Santos, COA</w:t>
      </w:r>
    </w:p>
    <w:p w:rsidR="00B24A93" w:rsidRPr="00C41DDD" w:rsidRDefault="00B24A93" w:rsidP="00B24A93">
      <w:pPr>
        <w:spacing w:after="0" w:line="240" w:lineRule="auto"/>
        <w:outlineLvl w:val="0"/>
        <w:rPr>
          <w:rFonts w:cs="Arial"/>
        </w:rPr>
      </w:pPr>
    </w:p>
    <w:p w:rsidR="00B24A93" w:rsidRPr="00C41DDD" w:rsidRDefault="00B24A93" w:rsidP="00B24A93">
      <w:pPr>
        <w:spacing w:after="0" w:line="240" w:lineRule="auto"/>
        <w:outlineLvl w:val="0"/>
        <w:rPr>
          <w:rFonts w:cs="Arial"/>
        </w:rPr>
      </w:pPr>
      <w:r w:rsidRPr="00C41DDD">
        <w:rPr>
          <w:rFonts w:cs="Arial"/>
        </w:rPr>
        <w:t>DBM BMBs</w:t>
      </w:r>
    </w:p>
    <w:p w:rsidR="00B24A93" w:rsidRPr="00C41DDD" w:rsidRDefault="00B24A93" w:rsidP="008D0A27">
      <w:pPr>
        <w:pStyle w:val="ListParagraph"/>
        <w:numPr>
          <w:ilvl w:val="0"/>
          <w:numId w:val="3"/>
        </w:numPr>
        <w:spacing w:after="0" w:line="240" w:lineRule="auto"/>
        <w:outlineLvl w:val="0"/>
        <w:rPr>
          <w:rFonts w:cs="Arial"/>
        </w:rPr>
      </w:pPr>
      <w:r w:rsidRPr="00C41DDD">
        <w:rPr>
          <w:rFonts w:cs="Arial"/>
        </w:rPr>
        <w:t>Ms. Lucena Ledesma, DBM NCR</w:t>
      </w:r>
    </w:p>
    <w:p w:rsidR="00955F92" w:rsidRPr="00C41DDD" w:rsidRDefault="00955F92" w:rsidP="008D0A27">
      <w:pPr>
        <w:pStyle w:val="ListParagraph"/>
        <w:numPr>
          <w:ilvl w:val="0"/>
          <w:numId w:val="3"/>
        </w:numPr>
        <w:spacing w:after="0" w:line="240" w:lineRule="auto"/>
        <w:outlineLvl w:val="0"/>
        <w:rPr>
          <w:rFonts w:cs="Arial"/>
        </w:rPr>
      </w:pPr>
      <w:r w:rsidRPr="00C41DDD">
        <w:rPr>
          <w:rFonts w:cs="Arial"/>
        </w:rPr>
        <w:t>Ms. Evelyn Peralta, BMB D</w:t>
      </w:r>
    </w:p>
    <w:p w:rsidR="00955F92" w:rsidRPr="00C41DDD" w:rsidRDefault="00955F92" w:rsidP="008D0A27">
      <w:pPr>
        <w:pStyle w:val="ListParagraph"/>
        <w:numPr>
          <w:ilvl w:val="0"/>
          <w:numId w:val="3"/>
        </w:numPr>
        <w:spacing w:after="0" w:line="240" w:lineRule="auto"/>
        <w:outlineLvl w:val="0"/>
        <w:rPr>
          <w:rFonts w:cs="Arial"/>
        </w:rPr>
      </w:pPr>
      <w:r w:rsidRPr="00C41DDD">
        <w:rPr>
          <w:rFonts w:cs="Arial"/>
        </w:rPr>
        <w:t>Ms. Vilma Gorospe, BMB E</w:t>
      </w:r>
    </w:p>
    <w:p w:rsidR="00955F92" w:rsidRPr="00C41DDD" w:rsidRDefault="00955F92" w:rsidP="008D0A27">
      <w:pPr>
        <w:pStyle w:val="ListParagraph"/>
        <w:numPr>
          <w:ilvl w:val="0"/>
          <w:numId w:val="3"/>
        </w:numPr>
        <w:spacing w:after="0" w:line="240" w:lineRule="auto"/>
        <w:outlineLvl w:val="0"/>
        <w:rPr>
          <w:rFonts w:cs="Arial"/>
        </w:rPr>
      </w:pPr>
      <w:r w:rsidRPr="00C41DDD">
        <w:rPr>
          <w:rFonts w:cs="Arial"/>
        </w:rPr>
        <w:t>Consuelo V. Beltran, BMB A</w:t>
      </w:r>
    </w:p>
    <w:p w:rsidR="00B24A93" w:rsidRPr="00C41DDD" w:rsidRDefault="00B24A93" w:rsidP="00B24A93">
      <w:pPr>
        <w:spacing w:after="0" w:line="240" w:lineRule="auto"/>
        <w:outlineLvl w:val="0"/>
        <w:rPr>
          <w:rFonts w:cs="Arial"/>
        </w:rPr>
      </w:pPr>
    </w:p>
    <w:p w:rsidR="00B24A93" w:rsidRPr="00C41DDD" w:rsidRDefault="00B24A93" w:rsidP="00B24A93">
      <w:pPr>
        <w:spacing w:after="0" w:line="240" w:lineRule="auto"/>
        <w:outlineLvl w:val="0"/>
        <w:rPr>
          <w:rFonts w:cs="Arial"/>
        </w:rPr>
      </w:pPr>
      <w:r w:rsidRPr="00C41DDD">
        <w:rPr>
          <w:rFonts w:cs="Arial"/>
        </w:rPr>
        <w:t>Other Attendees</w:t>
      </w:r>
    </w:p>
    <w:p w:rsidR="00B24A93" w:rsidRPr="00C41DDD" w:rsidRDefault="00B24A93" w:rsidP="008D0A27">
      <w:pPr>
        <w:pStyle w:val="ListParagraph"/>
        <w:numPr>
          <w:ilvl w:val="0"/>
          <w:numId w:val="4"/>
        </w:numPr>
        <w:spacing w:after="0" w:line="240" w:lineRule="auto"/>
        <w:outlineLvl w:val="0"/>
        <w:rPr>
          <w:rFonts w:cs="Arial"/>
        </w:rPr>
      </w:pPr>
      <w:r w:rsidRPr="00C41DDD">
        <w:rPr>
          <w:rFonts w:cs="Arial"/>
        </w:rPr>
        <w:t>Mr. Meinard Versoza, OP-OES</w:t>
      </w:r>
    </w:p>
    <w:p w:rsidR="00B24A93" w:rsidRPr="00C41DDD" w:rsidRDefault="00B24A93" w:rsidP="008D0A27">
      <w:pPr>
        <w:pStyle w:val="ListParagraph"/>
        <w:numPr>
          <w:ilvl w:val="0"/>
          <w:numId w:val="4"/>
        </w:numPr>
        <w:spacing w:after="0" w:line="240" w:lineRule="auto"/>
        <w:outlineLvl w:val="0"/>
        <w:rPr>
          <w:rFonts w:cs="Arial"/>
        </w:rPr>
      </w:pPr>
      <w:r w:rsidRPr="00C41DDD">
        <w:rPr>
          <w:rFonts w:cs="Arial"/>
        </w:rPr>
        <w:t>Mr. Ogie Estrella, OP-OES</w:t>
      </w:r>
    </w:p>
    <w:p w:rsidR="00B24A93" w:rsidRPr="00C41DDD" w:rsidRDefault="00EC4767" w:rsidP="008D0A27">
      <w:pPr>
        <w:pStyle w:val="ListParagraph"/>
        <w:numPr>
          <w:ilvl w:val="0"/>
          <w:numId w:val="4"/>
        </w:numPr>
        <w:spacing w:after="0" w:line="240" w:lineRule="auto"/>
        <w:outlineLvl w:val="0"/>
        <w:rPr>
          <w:rFonts w:cs="Arial"/>
        </w:rPr>
      </w:pPr>
      <w:r>
        <w:rPr>
          <w:rFonts w:cs="Arial"/>
        </w:rPr>
        <w:t xml:space="preserve">Mr. </w:t>
      </w:r>
      <w:r w:rsidR="00B24A93" w:rsidRPr="00C41DDD">
        <w:rPr>
          <w:rFonts w:cs="Arial"/>
        </w:rPr>
        <w:t>Reyen M, Sabate, CHED</w:t>
      </w:r>
    </w:p>
    <w:p w:rsidR="00955F92" w:rsidRPr="00C41DDD" w:rsidRDefault="00EC4767" w:rsidP="008D0A27">
      <w:pPr>
        <w:pStyle w:val="ListParagraph"/>
        <w:numPr>
          <w:ilvl w:val="0"/>
          <w:numId w:val="4"/>
        </w:numPr>
        <w:spacing w:after="0" w:line="240" w:lineRule="auto"/>
        <w:outlineLvl w:val="0"/>
        <w:rPr>
          <w:rFonts w:cs="Arial"/>
        </w:rPr>
      </w:pPr>
      <w:r>
        <w:rPr>
          <w:rFonts w:cs="Arial"/>
        </w:rPr>
        <w:t xml:space="preserve">Ms. </w:t>
      </w:r>
      <w:r w:rsidR="00955F92" w:rsidRPr="00C41DDD">
        <w:rPr>
          <w:rFonts w:cs="Arial"/>
        </w:rPr>
        <w:t>Gertudes P. Donato, COA</w:t>
      </w:r>
    </w:p>
    <w:p w:rsidR="00955F92" w:rsidRPr="00C41DDD" w:rsidRDefault="00EC4767" w:rsidP="008D0A27">
      <w:pPr>
        <w:pStyle w:val="ListParagraph"/>
        <w:numPr>
          <w:ilvl w:val="0"/>
          <w:numId w:val="4"/>
        </w:numPr>
        <w:spacing w:after="0" w:line="240" w:lineRule="auto"/>
        <w:outlineLvl w:val="0"/>
        <w:rPr>
          <w:rFonts w:cs="Arial"/>
        </w:rPr>
      </w:pPr>
      <w:r>
        <w:rPr>
          <w:rFonts w:cs="Arial"/>
        </w:rPr>
        <w:t xml:space="preserve">Ms. </w:t>
      </w:r>
      <w:r w:rsidR="00955F92" w:rsidRPr="00C41DDD">
        <w:rPr>
          <w:rFonts w:cs="Arial"/>
        </w:rPr>
        <w:t>Tienan Donabel Gabaldon</w:t>
      </w:r>
      <w:r>
        <w:rPr>
          <w:rFonts w:cs="Arial"/>
        </w:rPr>
        <w:t xml:space="preserve">, </w:t>
      </w:r>
      <w:r w:rsidR="00546A9F">
        <w:rPr>
          <w:rFonts w:cs="Arial"/>
        </w:rPr>
        <w:t>PMS</w:t>
      </w:r>
    </w:p>
    <w:p w:rsidR="00F91C04" w:rsidRPr="00C41DDD" w:rsidRDefault="00F91C04" w:rsidP="00F91C04">
      <w:pPr>
        <w:spacing w:after="0" w:line="240" w:lineRule="auto"/>
        <w:outlineLvl w:val="0"/>
        <w:rPr>
          <w:rFonts w:cs="Arial"/>
        </w:rPr>
      </w:pPr>
    </w:p>
    <w:p w:rsidR="00F91C04" w:rsidRPr="00C41DDD" w:rsidRDefault="00F91C04" w:rsidP="00F91C04">
      <w:pPr>
        <w:spacing w:after="0" w:line="240" w:lineRule="auto"/>
        <w:outlineLvl w:val="0"/>
        <w:rPr>
          <w:rFonts w:cs="Arial"/>
        </w:rPr>
      </w:pPr>
    </w:p>
    <w:p w:rsidR="00F91C04" w:rsidRPr="00C41DDD" w:rsidRDefault="00F91C04" w:rsidP="00F91C04">
      <w:pPr>
        <w:spacing w:after="0" w:line="240" w:lineRule="auto"/>
        <w:outlineLvl w:val="0"/>
        <w:rPr>
          <w:rFonts w:cs="Arial"/>
        </w:rPr>
      </w:pPr>
    </w:p>
    <w:p w:rsidR="00535176" w:rsidRDefault="00535176" w:rsidP="00535176">
      <w:pPr>
        <w:pStyle w:val="ListParagraph"/>
        <w:spacing w:after="0" w:line="240" w:lineRule="auto"/>
        <w:outlineLvl w:val="0"/>
        <w:rPr>
          <w:rFonts w:cs="Arial"/>
        </w:rPr>
      </w:pPr>
    </w:p>
    <w:p w:rsidR="00535176" w:rsidRDefault="00535176" w:rsidP="00535176">
      <w:pPr>
        <w:pStyle w:val="ListParagraph"/>
        <w:spacing w:after="0" w:line="240" w:lineRule="auto"/>
        <w:outlineLvl w:val="0"/>
        <w:rPr>
          <w:rFonts w:cs="Arial"/>
        </w:rPr>
      </w:pPr>
    </w:p>
    <w:p w:rsidR="00955F92" w:rsidRPr="00C41DDD" w:rsidRDefault="00EC4767" w:rsidP="008D0A27">
      <w:pPr>
        <w:pStyle w:val="ListParagraph"/>
        <w:numPr>
          <w:ilvl w:val="0"/>
          <w:numId w:val="4"/>
        </w:numPr>
        <w:spacing w:after="0" w:line="240" w:lineRule="auto"/>
        <w:outlineLvl w:val="0"/>
        <w:rPr>
          <w:rFonts w:cs="Arial"/>
        </w:rPr>
      </w:pPr>
      <w:r>
        <w:rPr>
          <w:rFonts w:cs="Arial"/>
        </w:rPr>
        <w:t xml:space="preserve">Mr. </w:t>
      </w:r>
      <w:r w:rsidR="00955F92" w:rsidRPr="00C41DDD">
        <w:rPr>
          <w:rFonts w:cs="Arial"/>
        </w:rPr>
        <w:t>Daniel Lumain, GCG</w:t>
      </w:r>
    </w:p>
    <w:p w:rsidR="00955F92" w:rsidRPr="00C41DDD" w:rsidRDefault="00EC4767" w:rsidP="008D0A27">
      <w:pPr>
        <w:pStyle w:val="ListParagraph"/>
        <w:numPr>
          <w:ilvl w:val="0"/>
          <w:numId w:val="4"/>
        </w:numPr>
        <w:spacing w:after="0" w:line="240" w:lineRule="auto"/>
        <w:outlineLvl w:val="0"/>
        <w:rPr>
          <w:rFonts w:cs="Arial"/>
        </w:rPr>
      </w:pPr>
      <w:r>
        <w:rPr>
          <w:rFonts w:cs="Arial"/>
        </w:rPr>
        <w:t xml:space="preserve">Ms. </w:t>
      </w:r>
      <w:r w:rsidR="00955F92" w:rsidRPr="00C41DDD">
        <w:rPr>
          <w:rFonts w:cs="Arial"/>
        </w:rPr>
        <w:t>Rosemarie C. Marquez</w:t>
      </w:r>
    </w:p>
    <w:p w:rsidR="008027DC" w:rsidRPr="00C41DDD" w:rsidRDefault="008027DC" w:rsidP="008027DC">
      <w:pPr>
        <w:spacing w:after="0" w:line="240" w:lineRule="auto"/>
        <w:outlineLvl w:val="0"/>
        <w:rPr>
          <w:rFonts w:cs="Arial"/>
        </w:rPr>
      </w:pPr>
    </w:p>
    <w:p w:rsidR="00F91C04" w:rsidRPr="00C41DDD" w:rsidRDefault="008027DC" w:rsidP="008027DC">
      <w:pPr>
        <w:spacing w:after="0" w:line="240" w:lineRule="auto"/>
        <w:outlineLvl w:val="0"/>
        <w:rPr>
          <w:rFonts w:cs="Arial"/>
        </w:rPr>
      </w:pPr>
      <w:r w:rsidRPr="00C41DDD">
        <w:rPr>
          <w:rFonts w:cs="Arial"/>
        </w:rPr>
        <w:t>AO 25 Secretariat</w:t>
      </w:r>
    </w:p>
    <w:p w:rsidR="008027DC" w:rsidRPr="00C41DDD" w:rsidRDefault="00F91C04" w:rsidP="008D0A27">
      <w:pPr>
        <w:pStyle w:val="ListParagraph"/>
        <w:numPr>
          <w:ilvl w:val="0"/>
          <w:numId w:val="5"/>
        </w:numPr>
        <w:spacing w:after="0" w:line="240" w:lineRule="auto"/>
        <w:outlineLvl w:val="0"/>
        <w:rPr>
          <w:rFonts w:cs="Arial"/>
        </w:rPr>
      </w:pPr>
      <w:r w:rsidRPr="00C41DDD">
        <w:rPr>
          <w:rFonts w:cs="Arial"/>
        </w:rPr>
        <w:t>Ms. Maria Rosario A. Ablan</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8027DC" w:rsidRPr="00C41DDD">
        <w:rPr>
          <w:rFonts w:cs="Arial"/>
        </w:rPr>
        <w:t>Maya Katrina Gotis</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Mr. </w:t>
      </w:r>
      <w:r w:rsidR="008027DC" w:rsidRPr="00C41DDD">
        <w:rPr>
          <w:rFonts w:cs="Arial"/>
        </w:rPr>
        <w:t>Emerson Labang</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8027DC" w:rsidRPr="00C41DDD">
        <w:rPr>
          <w:rFonts w:cs="Arial"/>
        </w:rPr>
        <w:t>Janice Cave</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8027DC" w:rsidRPr="00C41DDD">
        <w:rPr>
          <w:rFonts w:cs="Arial"/>
        </w:rPr>
        <w:t>Anna Venica Cruz</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8027DC" w:rsidRPr="00C41DDD">
        <w:rPr>
          <w:rFonts w:cs="Arial"/>
        </w:rPr>
        <w:t>Settie Sahara Mutia</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8027DC" w:rsidRPr="00C41DDD">
        <w:rPr>
          <w:rFonts w:cs="Arial"/>
        </w:rPr>
        <w:t>Chollim May Vocal</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8027DC" w:rsidRPr="00C41DDD">
        <w:rPr>
          <w:rFonts w:cs="Arial"/>
        </w:rPr>
        <w:t>Ma. Jane Kenneth Pundato</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8027DC" w:rsidRPr="00C41DDD">
        <w:rPr>
          <w:rFonts w:cs="Arial"/>
        </w:rPr>
        <w:t>Marielle Jane Tumang</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Mr. </w:t>
      </w:r>
      <w:r w:rsidR="008027DC" w:rsidRPr="00C41DDD">
        <w:rPr>
          <w:rFonts w:cs="Arial"/>
        </w:rPr>
        <w:t>Feliciano Pimentel III</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Mr. </w:t>
      </w:r>
      <w:r w:rsidR="008027DC" w:rsidRPr="00C41DDD">
        <w:rPr>
          <w:rFonts w:cs="Arial"/>
        </w:rPr>
        <w:t>Ramir Fundimera</w:t>
      </w:r>
    </w:p>
    <w:p w:rsidR="008027DC"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8027DC" w:rsidRPr="00C41DDD">
        <w:rPr>
          <w:rFonts w:cs="Arial"/>
        </w:rPr>
        <w:t>Nicole Marie Chantengco</w:t>
      </w:r>
    </w:p>
    <w:p w:rsidR="00F91C04"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F91C04" w:rsidRPr="00C41DDD">
        <w:rPr>
          <w:rFonts w:cs="Arial"/>
        </w:rPr>
        <w:t>Nadine Victoria Malapira</w:t>
      </w:r>
    </w:p>
    <w:p w:rsidR="00F91C04" w:rsidRPr="00C41DDD" w:rsidRDefault="00EC4767" w:rsidP="008D0A27">
      <w:pPr>
        <w:pStyle w:val="ListParagraph"/>
        <w:numPr>
          <w:ilvl w:val="0"/>
          <w:numId w:val="5"/>
        </w:numPr>
        <w:spacing w:after="0" w:line="240" w:lineRule="auto"/>
        <w:outlineLvl w:val="0"/>
        <w:rPr>
          <w:rFonts w:cs="Arial"/>
        </w:rPr>
      </w:pPr>
      <w:r>
        <w:rPr>
          <w:rFonts w:cs="Arial"/>
        </w:rPr>
        <w:t xml:space="preserve">Mr. </w:t>
      </w:r>
      <w:r w:rsidR="00F91C04" w:rsidRPr="00C41DDD">
        <w:rPr>
          <w:rFonts w:cs="Arial"/>
        </w:rPr>
        <w:t>Raymond Buan</w:t>
      </w:r>
    </w:p>
    <w:p w:rsidR="00722AE5" w:rsidRPr="00C41DDD" w:rsidRDefault="00EC4767" w:rsidP="008D0A27">
      <w:pPr>
        <w:pStyle w:val="ListParagraph"/>
        <w:numPr>
          <w:ilvl w:val="0"/>
          <w:numId w:val="5"/>
        </w:numPr>
        <w:spacing w:after="0" w:line="240" w:lineRule="auto"/>
        <w:outlineLvl w:val="0"/>
        <w:rPr>
          <w:rFonts w:cs="Arial"/>
        </w:rPr>
      </w:pPr>
      <w:r>
        <w:rPr>
          <w:rFonts w:cs="Arial"/>
        </w:rPr>
        <w:t xml:space="preserve">Ms. </w:t>
      </w:r>
      <w:r w:rsidR="00722AE5" w:rsidRPr="00C41DDD">
        <w:rPr>
          <w:rFonts w:cs="Arial"/>
        </w:rPr>
        <w:t>Ludivina Tebelin</w:t>
      </w:r>
    </w:p>
    <w:p w:rsidR="00722AE5" w:rsidRPr="00C41DDD" w:rsidRDefault="00722AE5" w:rsidP="00722AE5">
      <w:pPr>
        <w:pStyle w:val="ListParagraph"/>
        <w:spacing w:after="0" w:line="240" w:lineRule="auto"/>
        <w:outlineLvl w:val="0"/>
        <w:rPr>
          <w:rFonts w:cs="Arial"/>
        </w:rPr>
      </w:pPr>
    </w:p>
    <w:p w:rsidR="008027DC" w:rsidRPr="00C41DDD" w:rsidRDefault="008027DC" w:rsidP="008027DC">
      <w:pPr>
        <w:pStyle w:val="ListParagraph"/>
        <w:spacing w:after="0" w:line="240" w:lineRule="auto"/>
        <w:outlineLvl w:val="0"/>
        <w:rPr>
          <w:rFonts w:cs="Arial"/>
        </w:rPr>
      </w:pPr>
    </w:p>
    <w:p w:rsidR="007758F1" w:rsidRPr="00C41DDD" w:rsidRDefault="007758F1" w:rsidP="008027DC">
      <w:pPr>
        <w:pStyle w:val="ListParagraph"/>
        <w:spacing w:after="0" w:line="240" w:lineRule="auto"/>
        <w:outlineLvl w:val="0"/>
        <w:rPr>
          <w:rFonts w:cs="Arial"/>
        </w:rPr>
      </w:pPr>
    </w:p>
    <w:p w:rsidR="007758F1" w:rsidRPr="00C41DDD" w:rsidRDefault="007758F1" w:rsidP="008027DC">
      <w:pPr>
        <w:pStyle w:val="ListParagraph"/>
        <w:spacing w:after="0" w:line="240" w:lineRule="auto"/>
        <w:outlineLvl w:val="0"/>
        <w:rPr>
          <w:rFonts w:cs="Arial"/>
        </w:rPr>
      </w:pPr>
    </w:p>
    <w:p w:rsidR="007758F1" w:rsidRPr="00C41DDD" w:rsidRDefault="007758F1" w:rsidP="007758F1">
      <w:pPr>
        <w:rPr>
          <w:rFonts w:cs="Arial"/>
          <w:sz w:val="20"/>
          <w:szCs w:val="20"/>
        </w:rPr>
        <w:sectPr w:rsidR="007758F1" w:rsidRPr="00C41DDD" w:rsidSect="00C108DC">
          <w:headerReference w:type="even" r:id="rId9"/>
          <w:headerReference w:type="default" r:id="rId10"/>
          <w:footerReference w:type="default" r:id="rId11"/>
          <w:headerReference w:type="first" r:id="rId12"/>
          <w:footerReference w:type="first" r:id="rId13"/>
          <w:pgSz w:w="11909" w:h="16834" w:code="9"/>
          <w:pgMar w:top="1440" w:right="1440" w:bottom="1440" w:left="1440" w:header="720" w:footer="720" w:gutter="0"/>
          <w:cols w:num="2" w:space="720"/>
          <w:docGrid w:linePitch="360"/>
        </w:sectPr>
      </w:pPr>
      <w:r w:rsidRPr="00C41DDD">
        <w:rPr>
          <w:rFonts w:cs="Arial"/>
        </w:rPr>
        <w:br w:type="page"/>
      </w:r>
    </w:p>
    <w:p w:rsidR="00607C1A" w:rsidRPr="00C41DDD" w:rsidRDefault="00607C1A" w:rsidP="00607C1A">
      <w:pPr>
        <w:spacing w:after="0" w:line="240" w:lineRule="auto"/>
        <w:jc w:val="both"/>
        <w:rPr>
          <w:rFonts w:eastAsia="Times New Roman" w:cs="Arial"/>
          <w:b/>
          <w:lang w:eastAsia="en-PH"/>
        </w:rPr>
      </w:pPr>
      <w:r w:rsidRPr="00C41DDD">
        <w:rPr>
          <w:rFonts w:eastAsia="Times New Roman" w:cs="Arial"/>
          <w:b/>
          <w:lang w:eastAsia="en-PH"/>
        </w:rPr>
        <w:lastRenderedPageBreak/>
        <w:t>1. CALL TO ORDER</w:t>
      </w:r>
    </w:p>
    <w:p w:rsidR="00607C1A" w:rsidRPr="00C41DDD" w:rsidRDefault="00607C1A" w:rsidP="008D0A27">
      <w:pPr>
        <w:pStyle w:val="ListParagraph"/>
        <w:numPr>
          <w:ilvl w:val="0"/>
          <w:numId w:val="6"/>
        </w:numPr>
        <w:spacing w:after="0" w:line="240" w:lineRule="auto"/>
        <w:jc w:val="both"/>
        <w:rPr>
          <w:rFonts w:eastAsia="Times New Roman" w:cs="Arial"/>
          <w:lang w:eastAsia="en-PH"/>
        </w:rPr>
      </w:pPr>
      <w:r w:rsidRPr="00C41DDD">
        <w:rPr>
          <w:rFonts w:eastAsia="Times New Roman" w:cs="Arial"/>
          <w:lang w:eastAsia="en-PH"/>
        </w:rPr>
        <w:t>The meeting was called to order at 1:37 PM by Usec. Richard E. Moya.</w:t>
      </w:r>
    </w:p>
    <w:p w:rsidR="00607C1A" w:rsidRPr="00C41DDD" w:rsidRDefault="00607C1A" w:rsidP="00607C1A">
      <w:pPr>
        <w:spacing w:after="0" w:line="240" w:lineRule="auto"/>
        <w:jc w:val="both"/>
        <w:rPr>
          <w:rFonts w:eastAsia="Times New Roman" w:cs="Arial"/>
          <w:b/>
          <w:i/>
          <w:lang w:val="en-US" w:eastAsia="en-PH"/>
        </w:rPr>
      </w:pPr>
    </w:p>
    <w:p w:rsidR="008044C4" w:rsidRPr="00C41DDD" w:rsidRDefault="00607C1A" w:rsidP="00607C1A">
      <w:pPr>
        <w:spacing w:after="0" w:line="240" w:lineRule="auto"/>
        <w:jc w:val="both"/>
        <w:rPr>
          <w:rFonts w:eastAsia="Times New Roman" w:cs="Arial"/>
          <w:b/>
          <w:lang w:eastAsia="en-PH"/>
        </w:rPr>
      </w:pPr>
      <w:r w:rsidRPr="00C41DDD">
        <w:rPr>
          <w:rFonts w:eastAsia="Times New Roman" w:cs="Arial"/>
          <w:b/>
          <w:lang w:eastAsia="en-PH"/>
        </w:rPr>
        <w:t>2. REVIEW AND APPROVAL OF MINUTES OF JULY 10 TWG MEETING</w:t>
      </w:r>
    </w:p>
    <w:p w:rsidR="00EC4767" w:rsidRPr="00EC4767" w:rsidRDefault="00BF0DB2" w:rsidP="008D0A27">
      <w:pPr>
        <w:pStyle w:val="ListParagraph"/>
        <w:numPr>
          <w:ilvl w:val="0"/>
          <w:numId w:val="14"/>
        </w:numPr>
        <w:spacing w:after="0" w:line="240" w:lineRule="auto"/>
        <w:jc w:val="both"/>
        <w:rPr>
          <w:rFonts w:eastAsia="Times New Roman" w:cs="Arial"/>
          <w:b/>
          <w:lang w:eastAsia="en-PH"/>
        </w:rPr>
      </w:pPr>
      <w:r w:rsidRPr="00535C1D">
        <w:rPr>
          <w:rFonts w:eastAsia="Times New Roman" w:cs="Arial"/>
          <w:lang w:eastAsia="en-PH"/>
        </w:rPr>
        <w:t>Usec. Moya proposed the provisional approval of the minutes of the Ju</w:t>
      </w:r>
      <w:r>
        <w:rPr>
          <w:rFonts w:eastAsia="Times New Roman" w:cs="Arial"/>
          <w:lang w:eastAsia="en-PH"/>
        </w:rPr>
        <w:t>ly 10</w:t>
      </w:r>
      <w:r w:rsidRPr="00535C1D">
        <w:rPr>
          <w:rFonts w:eastAsia="Times New Roman" w:cs="Arial"/>
          <w:lang w:eastAsia="en-PH"/>
        </w:rPr>
        <w:t xml:space="preserve"> TWG </w:t>
      </w:r>
      <w:r>
        <w:rPr>
          <w:rFonts w:eastAsia="Times New Roman" w:cs="Arial"/>
          <w:lang w:eastAsia="en-PH"/>
        </w:rPr>
        <w:t>meeting</w:t>
      </w:r>
      <w:r w:rsidR="00EC4767">
        <w:rPr>
          <w:rFonts w:eastAsia="Times New Roman" w:cs="Arial"/>
          <w:lang w:eastAsia="en-PH"/>
        </w:rPr>
        <w:t>.</w:t>
      </w:r>
    </w:p>
    <w:p w:rsidR="00EC4767" w:rsidRDefault="00EC4767" w:rsidP="00EC4767">
      <w:pPr>
        <w:pStyle w:val="ListParagraph"/>
        <w:spacing w:after="0" w:line="240" w:lineRule="auto"/>
        <w:jc w:val="both"/>
        <w:rPr>
          <w:rFonts w:eastAsia="Times New Roman" w:cs="Arial"/>
          <w:lang w:eastAsia="en-PH"/>
        </w:rPr>
      </w:pPr>
    </w:p>
    <w:p w:rsidR="00EC4767" w:rsidRPr="00C41DDD" w:rsidRDefault="00EC4767" w:rsidP="00EC4767">
      <w:pPr>
        <w:spacing w:after="0" w:line="240" w:lineRule="auto"/>
        <w:ind w:left="360"/>
        <w:jc w:val="both"/>
        <w:rPr>
          <w:rFonts w:eastAsia="Times New Roman" w:cs="Arial"/>
          <w:b/>
          <w:lang w:eastAsia="en-PH"/>
        </w:rPr>
      </w:pPr>
      <w:r w:rsidRPr="00C41DDD">
        <w:rPr>
          <w:rFonts w:eastAsia="Times New Roman" w:cs="Arial"/>
          <w:b/>
          <w:lang w:eastAsia="en-PH"/>
        </w:rPr>
        <w:t xml:space="preserve">AGREEMENTS: </w:t>
      </w:r>
    </w:p>
    <w:p w:rsidR="007940A8" w:rsidRPr="00EC4767" w:rsidRDefault="00BF0DB2" w:rsidP="00EC4767">
      <w:pPr>
        <w:pStyle w:val="ListParagraph"/>
        <w:numPr>
          <w:ilvl w:val="0"/>
          <w:numId w:val="14"/>
        </w:numPr>
        <w:spacing w:after="0" w:line="240" w:lineRule="auto"/>
        <w:jc w:val="both"/>
        <w:rPr>
          <w:rFonts w:eastAsia="Times New Roman" w:cs="Arial"/>
          <w:lang w:eastAsia="en-PH"/>
        </w:rPr>
      </w:pPr>
      <w:r w:rsidRPr="00EC4767">
        <w:rPr>
          <w:rFonts w:eastAsia="Times New Roman" w:cs="Arial"/>
          <w:lang w:eastAsia="en-PH"/>
        </w:rPr>
        <w:t xml:space="preserve">TWG members may give their comments or reactions before 5:00 PM of 20 August 2015.  If the Secretariat does not receive any comments from the TWG members, the minutes shall be deemed as final and approved. </w:t>
      </w:r>
    </w:p>
    <w:p w:rsidR="007940A8" w:rsidRPr="00C41DDD" w:rsidRDefault="007940A8" w:rsidP="00607C1A">
      <w:pPr>
        <w:spacing w:after="0" w:line="240" w:lineRule="auto"/>
        <w:jc w:val="both"/>
        <w:rPr>
          <w:rFonts w:eastAsia="Times New Roman" w:cs="Arial"/>
          <w:b/>
          <w:lang w:eastAsia="en-PH"/>
        </w:rPr>
      </w:pPr>
    </w:p>
    <w:p w:rsidR="007940A8" w:rsidRPr="00C41DDD" w:rsidRDefault="007940A8" w:rsidP="007940A8">
      <w:pPr>
        <w:spacing w:after="0" w:line="240" w:lineRule="auto"/>
        <w:jc w:val="both"/>
        <w:rPr>
          <w:rFonts w:eastAsia="Times New Roman" w:cs="Arial"/>
          <w:b/>
          <w:lang w:eastAsia="en-PH"/>
        </w:rPr>
      </w:pPr>
      <w:r w:rsidRPr="00C41DDD">
        <w:rPr>
          <w:rFonts w:eastAsia="Times New Roman" w:cs="Arial"/>
          <w:b/>
          <w:lang w:eastAsia="en-PH"/>
        </w:rPr>
        <w:t>3. BUSINESS ARISING FROM THE JU</w:t>
      </w:r>
      <w:r w:rsidR="00EC4767">
        <w:rPr>
          <w:rFonts w:eastAsia="Times New Roman" w:cs="Arial"/>
          <w:b/>
          <w:lang w:eastAsia="en-PH"/>
        </w:rPr>
        <w:t>LY</w:t>
      </w:r>
      <w:r w:rsidRPr="00C41DDD">
        <w:rPr>
          <w:rFonts w:eastAsia="Times New Roman" w:cs="Arial"/>
          <w:b/>
          <w:lang w:eastAsia="en-PH"/>
        </w:rPr>
        <w:t xml:space="preserve"> </w:t>
      </w:r>
      <w:r w:rsidR="00EC4767">
        <w:rPr>
          <w:rFonts w:eastAsia="Times New Roman" w:cs="Arial"/>
          <w:b/>
          <w:lang w:eastAsia="en-PH"/>
        </w:rPr>
        <w:t>10</w:t>
      </w:r>
      <w:r w:rsidRPr="00C41DDD">
        <w:rPr>
          <w:rFonts w:eastAsia="Times New Roman" w:cs="Arial"/>
          <w:b/>
          <w:lang w:eastAsia="en-PH"/>
        </w:rPr>
        <w:t xml:space="preserve"> TWG MEETING</w:t>
      </w:r>
    </w:p>
    <w:p w:rsidR="00607C1A" w:rsidRPr="00BF0DB2" w:rsidRDefault="007940A8" w:rsidP="007940A8">
      <w:pPr>
        <w:spacing w:after="0" w:line="240" w:lineRule="auto"/>
        <w:ind w:firstLine="360"/>
        <w:jc w:val="both"/>
        <w:rPr>
          <w:rFonts w:eastAsia="Times New Roman" w:cs="Arial"/>
          <w:b/>
          <w:lang w:val="en-US" w:eastAsia="en-PH"/>
        </w:rPr>
      </w:pPr>
      <w:r w:rsidRPr="00BF0DB2">
        <w:rPr>
          <w:rFonts w:eastAsia="Times New Roman" w:cs="Arial"/>
          <w:b/>
          <w:lang w:val="en-US" w:eastAsia="en-PH"/>
        </w:rPr>
        <w:t xml:space="preserve">3.1 </w:t>
      </w:r>
      <w:r w:rsidR="00BF0DB2" w:rsidRPr="00BF0DB2">
        <w:rPr>
          <w:rFonts w:eastAsia="Times New Roman" w:cs="Arial"/>
          <w:b/>
          <w:lang w:eastAsia="en-PH"/>
        </w:rPr>
        <w:t>IPOPHL’s eligibility for FY 2015 PEI</w:t>
      </w:r>
    </w:p>
    <w:p w:rsidR="00EC4767" w:rsidRPr="00EC4767" w:rsidRDefault="00EC4767" w:rsidP="008D0A27">
      <w:pPr>
        <w:pStyle w:val="ListParagraph"/>
        <w:numPr>
          <w:ilvl w:val="0"/>
          <w:numId w:val="9"/>
        </w:numPr>
        <w:spacing w:after="0" w:line="240" w:lineRule="auto"/>
        <w:jc w:val="both"/>
        <w:rPr>
          <w:rFonts w:eastAsia="Times New Roman" w:cs="Arial"/>
          <w:i/>
          <w:lang w:val="en-US" w:eastAsia="en-PH"/>
        </w:rPr>
      </w:pPr>
      <w:r w:rsidRPr="00EC4767">
        <w:rPr>
          <w:rFonts w:eastAsia="Times New Roman" w:cs="Arial"/>
          <w:lang w:val="en-US" w:eastAsia="en-PH"/>
        </w:rPr>
        <w:t>Ms</w:t>
      </w:r>
      <w:r>
        <w:rPr>
          <w:rFonts w:eastAsia="Times New Roman" w:cs="Arial"/>
          <w:lang w:val="en-US" w:eastAsia="en-PH"/>
        </w:rPr>
        <w:t xml:space="preserve">. Maria Rosario Ablan ran through the business arising from the June 5 TWG meeting. </w:t>
      </w:r>
    </w:p>
    <w:p w:rsidR="00EC4767" w:rsidRPr="00EC4767" w:rsidRDefault="00EC4767" w:rsidP="00EC4767">
      <w:pPr>
        <w:pStyle w:val="ListParagraph"/>
        <w:spacing w:after="0" w:line="240" w:lineRule="auto"/>
        <w:jc w:val="both"/>
        <w:rPr>
          <w:rFonts w:eastAsia="Times New Roman" w:cs="Arial"/>
          <w:i/>
          <w:lang w:val="en-US" w:eastAsia="en-PH"/>
        </w:rPr>
      </w:pPr>
      <w:r w:rsidRPr="00EC4767">
        <w:rPr>
          <w:rFonts w:eastAsia="Times New Roman" w:cs="Arial"/>
          <w:lang w:val="en-US" w:eastAsia="en-PH"/>
        </w:rPr>
        <w:t xml:space="preserve"> </w:t>
      </w:r>
    </w:p>
    <w:p w:rsidR="00BF0DB2" w:rsidRPr="00BF0DB2" w:rsidRDefault="00EC4767" w:rsidP="008D0A27">
      <w:pPr>
        <w:pStyle w:val="ListParagraph"/>
        <w:numPr>
          <w:ilvl w:val="0"/>
          <w:numId w:val="9"/>
        </w:numPr>
        <w:spacing w:after="0" w:line="240" w:lineRule="auto"/>
        <w:jc w:val="both"/>
        <w:rPr>
          <w:rFonts w:eastAsia="Times New Roman" w:cs="Arial"/>
          <w:b/>
          <w:i/>
          <w:lang w:val="en-US" w:eastAsia="en-PH"/>
        </w:rPr>
      </w:pPr>
      <w:r>
        <w:rPr>
          <w:rFonts w:eastAsia="Times New Roman" w:cs="Arial"/>
          <w:lang w:val="en-US" w:eastAsia="en-PH"/>
        </w:rPr>
        <w:t xml:space="preserve">First on the list was the eligibility of the </w:t>
      </w:r>
      <w:r w:rsidR="00BF0DB2">
        <w:rPr>
          <w:rFonts w:eastAsia="Times New Roman" w:cs="Arial"/>
          <w:lang w:val="en-US" w:eastAsia="en-PH"/>
        </w:rPr>
        <w:t>IPOPHL</w:t>
      </w:r>
      <w:r>
        <w:rPr>
          <w:rFonts w:eastAsia="Times New Roman" w:cs="Arial"/>
          <w:lang w:val="en-US" w:eastAsia="en-PH"/>
        </w:rPr>
        <w:t xml:space="preserve"> for the one-month salary equivalent of PEI.  Ms. Ablan reported that IPOPHL </w:t>
      </w:r>
      <w:r w:rsidR="00A84C59">
        <w:rPr>
          <w:rFonts w:eastAsia="Times New Roman" w:cs="Arial"/>
          <w:lang w:val="en-US" w:eastAsia="en-PH"/>
        </w:rPr>
        <w:t>was already</w:t>
      </w:r>
      <w:r w:rsidR="00BF0DB2">
        <w:rPr>
          <w:rFonts w:eastAsia="Times New Roman" w:cs="Arial"/>
          <w:lang w:val="en-US" w:eastAsia="en-PH"/>
        </w:rPr>
        <w:t xml:space="preserve"> eligible for the</w:t>
      </w:r>
      <w:r w:rsidR="00607C1A" w:rsidRPr="00C41DDD">
        <w:rPr>
          <w:rFonts w:eastAsia="Times New Roman" w:cs="Arial"/>
          <w:lang w:val="en-US" w:eastAsia="en-PH"/>
        </w:rPr>
        <w:t xml:space="preserve"> PEI 2015</w:t>
      </w:r>
      <w:r w:rsidR="00A84C59">
        <w:rPr>
          <w:rFonts w:eastAsia="Times New Roman" w:cs="Arial"/>
          <w:lang w:val="en-US" w:eastAsia="en-PH"/>
        </w:rPr>
        <w:t xml:space="preserve"> and was</w:t>
      </w:r>
      <w:r w:rsidR="00607C1A" w:rsidRPr="00C41DDD">
        <w:rPr>
          <w:rFonts w:eastAsia="Times New Roman" w:cs="Arial"/>
          <w:lang w:val="en-US" w:eastAsia="en-PH"/>
        </w:rPr>
        <w:t xml:space="preserve"> already informed </w:t>
      </w:r>
      <w:r w:rsidR="00A84C59">
        <w:rPr>
          <w:rFonts w:eastAsia="Times New Roman" w:cs="Arial"/>
          <w:lang w:val="en-US" w:eastAsia="en-PH"/>
        </w:rPr>
        <w:t xml:space="preserve">that they were already </w:t>
      </w:r>
      <w:r w:rsidR="00607C1A" w:rsidRPr="00C41DDD">
        <w:rPr>
          <w:rFonts w:eastAsia="Times New Roman" w:cs="Arial"/>
          <w:lang w:val="en-US" w:eastAsia="en-PH"/>
        </w:rPr>
        <w:t xml:space="preserve">authorized to release the PEI. </w:t>
      </w:r>
    </w:p>
    <w:p w:rsidR="00BF0DB2" w:rsidRPr="00BF0DB2" w:rsidRDefault="00BF0DB2" w:rsidP="00BF0DB2">
      <w:pPr>
        <w:pStyle w:val="ListParagraph"/>
        <w:spacing w:after="0" w:line="240" w:lineRule="auto"/>
        <w:jc w:val="both"/>
        <w:rPr>
          <w:rFonts w:eastAsia="Times New Roman" w:cs="Arial"/>
          <w:b/>
          <w:i/>
          <w:lang w:val="en-US" w:eastAsia="en-PH"/>
        </w:rPr>
      </w:pPr>
      <w:r>
        <w:rPr>
          <w:rFonts w:eastAsia="Times New Roman" w:cs="Arial"/>
          <w:lang w:val="en-US" w:eastAsia="en-PH"/>
        </w:rPr>
        <w:t xml:space="preserve"> </w:t>
      </w:r>
    </w:p>
    <w:p w:rsidR="00BF0DB2" w:rsidRPr="00BF0DB2" w:rsidRDefault="00A84C59" w:rsidP="008D0A27">
      <w:pPr>
        <w:pStyle w:val="ListParagraph"/>
        <w:numPr>
          <w:ilvl w:val="0"/>
          <w:numId w:val="10"/>
        </w:numPr>
        <w:spacing w:after="0" w:line="240" w:lineRule="auto"/>
        <w:jc w:val="both"/>
        <w:rPr>
          <w:rFonts w:eastAsia="Times New Roman" w:cs="Arial"/>
          <w:b/>
          <w:lang w:eastAsia="en-PH"/>
        </w:rPr>
      </w:pPr>
      <w:r>
        <w:rPr>
          <w:rFonts w:eastAsia="Times New Roman" w:cs="Arial"/>
          <w:lang w:val="en-US" w:eastAsia="en-PH"/>
        </w:rPr>
        <w:t>Ms. Ablan</w:t>
      </w:r>
      <w:r w:rsidR="00BF0DB2">
        <w:rPr>
          <w:rFonts w:eastAsia="Times New Roman" w:cs="Arial"/>
          <w:lang w:val="en-US" w:eastAsia="en-PH"/>
        </w:rPr>
        <w:t xml:space="preserve"> informed the body that</w:t>
      </w:r>
      <w:r w:rsidR="00563A95">
        <w:rPr>
          <w:rFonts w:eastAsia="Times New Roman" w:cs="Arial"/>
          <w:lang w:val="en-US" w:eastAsia="en-PH"/>
        </w:rPr>
        <w:t xml:space="preserve"> the case of</w:t>
      </w:r>
      <w:r w:rsidR="00BF0DB2">
        <w:rPr>
          <w:rFonts w:eastAsia="Times New Roman" w:cs="Arial"/>
          <w:lang w:val="en-US" w:eastAsia="en-PH"/>
        </w:rPr>
        <w:t xml:space="preserve"> </w:t>
      </w:r>
      <w:r w:rsidR="00BF0DB2" w:rsidRPr="00C41DDD">
        <w:rPr>
          <w:rFonts w:eastAsia="Times New Roman" w:cs="Arial"/>
          <w:lang w:val="en-US" w:eastAsia="en-PH"/>
        </w:rPr>
        <w:t>Human Rights Victim Council</w:t>
      </w:r>
      <w:r w:rsidR="00BF0DB2">
        <w:rPr>
          <w:rFonts w:eastAsia="Times New Roman" w:cs="Arial"/>
          <w:lang w:val="en-US" w:eastAsia="en-PH"/>
        </w:rPr>
        <w:t xml:space="preserve"> (HRVC)</w:t>
      </w:r>
      <w:r w:rsidR="00BF0DB2" w:rsidRPr="00C41DDD">
        <w:rPr>
          <w:rFonts w:eastAsia="Times New Roman" w:cs="Arial"/>
          <w:lang w:val="en-US" w:eastAsia="en-PH"/>
        </w:rPr>
        <w:t xml:space="preserve"> under the CHR</w:t>
      </w:r>
      <w:r w:rsidR="00BF0DB2">
        <w:rPr>
          <w:rFonts w:eastAsia="Times New Roman" w:cs="Arial"/>
          <w:lang w:val="en-US" w:eastAsia="en-PH"/>
        </w:rPr>
        <w:t xml:space="preserve"> </w:t>
      </w:r>
      <w:r w:rsidR="00563A95">
        <w:rPr>
          <w:rFonts w:eastAsia="Times New Roman" w:cs="Arial"/>
          <w:lang w:val="en-US" w:eastAsia="en-PH"/>
        </w:rPr>
        <w:t>was similar to IPOPHL</w:t>
      </w:r>
      <w:r w:rsidR="00BF0DB2">
        <w:rPr>
          <w:rFonts w:eastAsia="Times New Roman" w:cs="Arial"/>
          <w:lang w:val="en-US" w:eastAsia="en-PH"/>
        </w:rPr>
        <w:t xml:space="preserve">.  </w:t>
      </w:r>
      <w:r>
        <w:rPr>
          <w:rFonts w:eastAsia="Times New Roman" w:cs="Arial"/>
          <w:lang w:val="en-US" w:eastAsia="en-PH"/>
        </w:rPr>
        <w:t>Per advice of Asec. Myrna Chua, t</w:t>
      </w:r>
      <w:r w:rsidR="00BF0DB2">
        <w:rPr>
          <w:rFonts w:eastAsia="Times New Roman" w:cs="Arial"/>
          <w:lang w:val="en-US" w:eastAsia="en-PH"/>
        </w:rPr>
        <w:t xml:space="preserve">he same rule </w:t>
      </w:r>
      <w:r>
        <w:rPr>
          <w:rFonts w:eastAsia="Times New Roman" w:cs="Arial"/>
          <w:lang w:val="en-US" w:eastAsia="en-PH"/>
        </w:rPr>
        <w:t>used for</w:t>
      </w:r>
      <w:r w:rsidR="00BF0DB2">
        <w:rPr>
          <w:rFonts w:eastAsia="Times New Roman" w:cs="Arial"/>
          <w:lang w:val="en-US" w:eastAsia="en-PH"/>
        </w:rPr>
        <w:t xml:space="preserve"> IPOPHL </w:t>
      </w:r>
      <w:r>
        <w:rPr>
          <w:rFonts w:eastAsia="Times New Roman" w:cs="Arial"/>
          <w:lang w:val="en-US" w:eastAsia="en-PH"/>
        </w:rPr>
        <w:t>w</w:t>
      </w:r>
      <w:r w:rsidR="00563A95">
        <w:rPr>
          <w:rFonts w:eastAsia="Times New Roman" w:cs="Arial"/>
          <w:lang w:val="en-US" w:eastAsia="en-PH"/>
        </w:rPr>
        <w:t>ould</w:t>
      </w:r>
      <w:r>
        <w:rPr>
          <w:rFonts w:eastAsia="Times New Roman" w:cs="Arial"/>
          <w:lang w:val="en-US" w:eastAsia="en-PH"/>
        </w:rPr>
        <w:t xml:space="preserve"> be applied to</w:t>
      </w:r>
      <w:r w:rsidR="00BF0DB2">
        <w:rPr>
          <w:rFonts w:eastAsia="Times New Roman" w:cs="Arial"/>
          <w:lang w:val="en-US" w:eastAsia="en-PH"/>
        </w:rPr>
        <w:t xml:space="preserve"> HRVC</w:t>
      </w:r>
      <w:r>
        <w:rPr>
          <w:rFonts w:eastAsia="Times New Roman" w:cs="Arial"/>
          <w:lang w:val="en-US" w:eastAsia="en-PH"/>
        </w:rPr>
        <w:t>, as well</w:t>
      </w:r>
      <w:r w:rsidR="00BF0DB2">
        <w:rPr>
          <w:rFonts w:eastAsia="Times New Roman" w:cs="Arial"/>
          <w:lang w:val="en-US" w:eastAsia="en-PH"/>
        </w:rPr>
        <w:t>.</w:t>
      </w:r>
      <w:r w:rsidR="00607C1A" w:rsidRPr="00C41DDD">
        <w:rPr>
          <w:rFonts w:eastAsia="Times New Roman" w:cs="Arial"/>
          <w:lang w:val="en-US" w:eastAsia="en-PH"/>
        </w:rPr>
        <w:t xml:space="preserve"> </w:t>
      </w:r>
    </w:p>
    <w:p w:rsidR="00BF0DB2" w:rsidRPr="00BF0DB2" w:rsidRDefault="00BF0DB2" w:rsidP="00BF0DB2">
      <w:pPr>
        <w:pStyle w:val="ListParagraph"/>
        <w:spacing w:after="0" w:line="240" w:lineRule="auto"/>
        <w:jc w:val="both"/>
        <w:rPr>
          <w:rFonts w:eastAsia="Times New Roman" w:cs="Arial"/>
          <w:b/>
          <w:lang w:eastAsia="en-PH"/>
        </w:rPr>
      </w:pPr>
    </w:p>
    <w:p w:rsidR="00A84C59" w:rsidRPr="00A84C59" w:rsidRDefault="00BF0DB2" w:rsidP="008D0A27">
      <w:pPr>
        <w:pStyle w:val="ListParagraph"/>
        <w:numPr>
          <w:ilvl w:val="0"/>
          <w:numId w:val="10"/>
        </w:numPr>
        <w:spacing w:after="0" w:line="240" w:lineRule="auto"/>
        <w:jc w:val="both"/>
        <w:rPr>
          <w:rFonts w:eastAsia="Times New Roman" w:cs="Arial"/>
          <w:b/>
          <w:lang w:eastAsia="en-PH"/>
        </w:rPr>
      </w:pPr>
      <w:r w:rsidRPr="00BF0DB2">
        <w:rPr>
          <w:rFonts w:eastAsia="Times New Roman" w:cs="Arial"/>
          <w:lang w:val="en-US" w:eastAsia="en-PH"/>
        </w:rPr>
        <w:t xml:space="preserve">Usec. Moya </w:t>
      </w:r>
      <w:r w:rsidR="00A84C59">
        <w:rPr>
          <w:rFonts w:eastAsia="Times New Roman" w:cs="Arial"/>
          <w:lang w:val="en-US" w:eastAsia="en-PH"/>
        </w:rPr>
        <w:t>asked for clarification whether the</w:t>
      </w:r>
      <w:r w:rsidRPr="00BF0DB2">
        <w:rPr>
          <w:rFonts w:eastAsia="Times New Roman" w:cs="Arial"/>
          <w:lang w:val="en-US" w:eastAsia="en-PH"/>
        </w:rPr>
        <w:t xml:space="preserve"> issue was </w:t>
      </w:r>
      <w:r w:rsidR="00A84C59">
        <w:rPr>
          <w:rFonts w:eastAsia="Times New Roman" w:cs="Arial"/>
          <w:lang w:val="en-US" w:eastAsia="en-PH"/>
        </w:rPr>
        <w:t>the lack of</w:t>
      </w:r>
      <w:r w:rsidRPr="00BF0DB2">
        <w:rPr>
          <w:rFonts w:eastAsia="Times New Roman" w:cs="Arial"/>
          <w:lang w:val="en-US" w:eastAsia="en-PH"/>
        </w:rPr>
        <w:t xml:space="preserve"> GAA-MFO</w:t>
      </w:r>
      <w:r w:rsidR="00A84C59">
        <w:rPr>
          <w:rFonts w:eastAsia="Times New Roman" w:cs="Arial"/>
          <w:lang w:val="en-US" w:eastAsia="en-PH"/>
        </w:rPr>
        <w:t xml:space="preserve"> and what possible resolution can be adopted in the absence of GAA-MFO.</w:t>
      </w:r>
      <w:r w:rsidRPr="00BF0DB2">
        <w:rPr>
          <w:rFonts w:eastAsia="Times New Roman" w:cs="Arial"/>
          <w:lang w:val="en-US" w:eastAsia="en-PH"/>
        </w:rPr>
        <w:t xml:space="preserve">  </w:t>
      </w:r>
    </w:p>
    <w:p w:rsidR="00A84C59" w:rsidRPr="00A84C59" w:rsidRDefault="00A84C59" w:rsidP="00A84C59">
      <w:pPr>
        <w:pStyle w:val="ListParagraph"/>
        <w:rPr>
          <w:rFonts w:eastAsia="Times New Roman" w:cs="Arial"/>
          <w:lang w:eastAsia="en-PH"/>
        </w:rPr>
      </w:pPr>
    </w:p>
    <w:p w:rsidR="00BF0DB2" w:rsidRPr="00A84C59" w:rsidRDefault="00A84C59" w:rsidP="00A84C59">
      <w:pPr>
        <w:pStyle w:val="ListParagraph"/>
        <w:numPr>
          <w:ilvl w:val="0"/>
          <w:numId w:val="10"/>
        </w:numPr>
        <w:spacing w:after="0" w:line="240" w:lineRule="auto"/>
        <w:jc w:val="both"/>
        <w:rPr>
          <w:rFonts w:eastAsia="Times New Roman" w:cs="Arial"/>
          <w:lang w:eastAsia="en-PH"/>
        </w:rPr>
      </w:pPr>
      <w:r w:rsidRPr="00A84C59">
        <w:rPr>
          <w:rFonts w:eastAsia="Times New Roman" w:cs="Arial"/>
          <w:lang w:eastAsia="en-PH"/>
        </w:rPr>
        <w:t>Ms</w:t>
      </w:r>
      <w:r>
        <w:rPr>
          <w:rFonts w:eastAsia="Times New Roman" w:cs="Arial"/>
          <w:lang w:eastAsia="en-PH"/>
        </w:rPr>
        <w:t xml:space="preserve">. Ablan replied that the agency was supposed to </w:t>
      </w:r>
      <w:r w:rsidRPr="009B5E5A">
        <w:t>submit the proof that they meet their targets submitted it to their mother agency</w:t>
      </w:r>
      <w:r>
        <w:t xml:space="preserve"> to be validated by the latter. I</w:t>
      </w:r>
      <w:r w:rsidRPr="009B5E5A">
        <w:t>n the case of IPOPHIL,</w:t>
      </w:r>
      <w:r>
        <w:t xml:space="preserve"> the agency submitted its accomplishments to</w:t>
      </w:r>
      <w:r w:rsidRPr="009B5E5A">
        <w:t xml:space="preserve"> DTI</w:t>
      </w:r>
      <w:r>
        <w:t xml:space="preserve"> for the validation of their report.  </w:t>
      </w:r>
    </w:p>
    <w:p w:rsidR="00607C1A" w:rsidRDefault="00BF0DB2" w:rsidP="00BF0DB2">
      <w:pPr>
        <w:pStyle w:val="ListParagraph"/>
        <w:spacing w:after="0" w:line="240" w:lineRule="auto"/>
        <w:jc w:val="both"/>
        <w:rPr>
          <w:rFonts w:eastAsia="Times New Roman" w:cs="Arial"/>
          <w:b/>
          <w:i/>
          <w:lang w:val="en-US" w:eastAsia="en-PH"/>
        </w:rPr>
      </w:pPr>
      <w:r>
        <w:rPr>
          <w:rFonts w:eastAsia="Times New Roman" w:cs="Arial"/>
          <w:b/>
          <w:i/>
          <w:lang w:val="en-US" w:eastAsia="en-PH"/>
        </w:rPr>
        <w:t xml:space="preserve"> </w:t>
      </w:r>
    </w:p>
    <w:p w:rsidR="00BF0DB2" w:rsidRPr="00C41DDD" w:rsidRDefault="00BF0DB2" w:rsidP="00A84C59">
      <w:pPr>
        <w:spacing w:after="0" w:line="240" w:lineRule="auto"/>
        <w:ind w:left="360"/>
        <w:jc w:val="both"/>
        <w:rPr>
          <w:rFonts w:eastAsia="Times New Roman" w:cs="Arial"/>
          <w:b/>
          <w:lang w:eastAsia="en-PH"/>
        </w:rPr>
      </w:pPr>
      <w:r w:rsidRPr="00C41DDD">
        <w:rPr>
          <w:rFonts w:eastAsia="Times New Roman" w:cs="Arial"/>
          <w:b/>
          <w:lang w:eastAsia="en-PH"/>
        </w:rPr>
        <w:t xml:space="preserve">AGREEMENTS: </w:t>
      </w:r>
    </w:p>
    <w:p w:rsidR="005E54C7" w:rsidRPr="005E54C7" w:rsidRDefault="00A84C59" w:rsidP="008D0A27">
      <w:pPr>
        <w:pStyle w:val="ListParagraph"/>
        <w:numPr>
          <w:ilvl w:val="0"/>
          <w:numId w:val="15"/>
        </w:numPr>
        <w:spacing w:after="0" w:line="240" w:lineRule="auto"/>
        <w:jc w:val="both"/>
        <w:rPr>
          <w:rFonts w:eastAsia="Times New Roman" w:cs="Arial"/>
          <w:lang w:val="en-US" w:eastAsia="en-PH"/>
        </w:rPr>
      </w:pPr>
      <w:r w:rsidRPr="00A84C59">
        <w:rPr>
          <w:rFonts w:eastAsia="Times New Roman" w:cs="Arial"/>
          <w:lang w:eastAsia="en-PH"/>
        </w:rPr>
        <w:t xml:space="preserve">Moving forward, Usec. Moya gave instruction to institutionalize this case and other similar cases. In the absence of GAA-MFO, the agencies must submit the proof that they meet their targets and accomplishments as well as secure submission of these to their mother agencies. </w:t>
      </w:r>
    </w:p>
    <w:p w:rsidR="005E54C7" w:rsidRPr="005E54C7" w:rsidRDefault="005E54C7" w:rsidP="005E54C7">
      <w:pPr>
        <w:pStyle w:val="ListParagraph"/>
        <w:spacing w:after="0" w:line="240" w:lineRule="auto"/>
        <w:jc w:val="both"/>
        <w:rPr>
          <w:rFonts w:eastAsia="Times New Roman" w:cs="Arial"/>
          <w:lang w:val="en-US" w:eastAsia="en-PH"/>
        </w:rPr>
      </w:pPr>
    </w:p>
    <w:p w:rsidR="00BF0DB2" w:rsidRPr="00A84C59" w:rsidRDefault="00BF0DB2" w:rsidP="008D0A27">
      <w:pPr>
        <w:pStyle w:val="ListParagraph"/>
        <w:numPr>
          <w:ilvl w:val="0"/>
          <w:numId w:val="15"/>
        </w:numPr>
        <w:spacing w:after="0" w:line="240" w:lineRule="auto"/>
        <w:jc w:val="both"/>
        <w:rPr>
          <w:rFonts w:eastAsia="Times New Roman" w:cs="Arial"/>
          <w:lang w:val="en-US" w:eastAsia="en-PH"/>
        </w:rPr>
      </w:pPr>
      <w:r w:rsidRPr="00A84C59">
        <w:rPr>
          <w:rFonts w:eastAsia="Times New Roman" w:cs="Arial"/>
          <w:lang w:val="en-US" w:eastAsia="en-PH"/>
        </w:rPr>
        <w:t>Generate the list of PEI/PBB-entitled agencies that have no MFO-indicators in the GAA and institutionalize the TWG decision for this case (i.e. decision on the IPOPHL).</w:t>
      </w:r>
    </w:p>
    <w:p w:rsidR="00BF0DB2" w:rsidRPr="00BF0DB2" w:rsidRDefault="00BF0DB2" w:rsidP="00BF0DB2">
      <w:pPr>
        <w:pStyle w:val="ListParagraph"/>
        <w:spacing w:after="0"/>
        <w:contextualSpacing w:val="0"/>
        <w:rPr>
          <w:rFonts w:eastAsia="Times New Roman" w:cs="Arial"/>
          <w:b/>
          <w:i/>
          <w:lang w:val="en-US" w:eastAsia="en-PH"/>
        </w:rPr>
      </w:pPr>
    </w:p>
    <w:p w:rsidR="00BF0DB2" w:rsidRDefault="00BF0DB2" w:rsidP="00BF0DB2">
      <w:pPr>
        <w:spacing w:after="0" w:line="240" w:lineRule="auto"/>
        <w:ind w:firstLine="360"/>
        <w:jc w:val="both"/>
        <w:rPr>
          <w:rFonts w:eastAsia="Times New Roman" w:cs="Arial"/>
          <w:b/>
          <w:lang w:eastAsia="en-PH"/>
        </w:rPr>
      </w:pPr>
      <w:r w:rsidRPr="00BF0DB2">
        <w:rPr>
          <w:rFonts w:eastAsia="Times New Roman" w:cs="Arial"/>
          <w:b/>
          <w:lang w:val="en-US" w:eastAsia="en-PH"/>
        </w:rPr>
        <w:t xml:space="preserve">3.2 </w:t>
      </w:r>
      <w:r w:rsidRPr="00BF0DB2">
        <w:rPr>
          <w:rFonts w:eastAsia="Times New Roman" w:cs="Arial"/>
          <w:b/>
          <w:lang w:eastAsia="en-PH"/>
        </w:rPr>
        <w:t>COACHING SESSIONS FOR SUCS BY CHED</w:t>
      </w:r>
    </w:p>
    <w:p w:rsidR="00501EDA" w:rsidRPr="00501EDA" w:rsidRDefault="00501EDA" w:rsidP="008D0A27">
      <w:pPr>
        <w:pStyle w:val="ListParagraph"/>
        <w:numPr>
          <w:ilvl w:val="0"/>
          <w:numId w:val="15"/>
        </w:numPr>
        <w:spacing w:after="0" w:line="240" w:lineRule="auto"/>
        <w:jc w:val="both"/>
        <w:rPr>
          <w:rFonts w:eastAsia="Times New Roman" w:cs="Arial"/>
          <w:b/>
          <w:lang w:eastAsia="en-PH"/>
        </w:rPr>
      </w:pPr>
      <w:r>
        <w:rPr>
          <w:rFonts w:eastAsia="Times New Roman" w:cs="Arial"/>
          <w:lang w:eastAsia="en-PH"/>
        </w:rPr>
        <w:t>SUCs conducted</w:t>
      </w:r>
      <w:r w:rsidR="005E54C7">
        <w:rPr>
          <w:rFonts w:eastAsia="Times New Roman" w:cs="Arial"/>
          <w:lang w:eastAsia="en-PH"/>
        </w:rPr>
        <w:t xml:space="preserve"> a</w:t>
      </w:r>
      <w:r>
        <w:rPr>
          <w:rFonts w:eastAsia="Times New Roman" w:cs="Arial"/>
          <w:lang w:eastAsia="en-PH"/>
        </w:rPr>
        <w:t xml:space="preserve"> coaching session for SUCs on 17 August 2015.  Another coaching session was scheduled on 1 September 2015.  </w:t>
      </w:r>
    </w:p>
    <w:p w:rsidR="00501EDA" w:rsidRPr="00501EDA" w:rsidRDefault="00501EDA" w:rsidP="00501EDA">
      <w:pPr>
        <w:pStyle w:val="ListParagraph"/>
        <w:spacing w:after="0" w:line="240" w:lineRule="auto"/>
        <w:jc w:val="both"/>
        <w:rPr>
          <w:rFonts w:eastAsia="Times New Roman" w:cs="Arial"/>
          <w:lang w:eastAsia="en-PH"/>
        </w:rPr>
      </w:pPr>
      <w:r>
        <w:rPr>
          <w:rFonts w:eastAsia="Times New Roman" w:cs="Arial"/>
          <w:lang w:eastAsia="en-PH"/>
        </w:rPr>
        <w:t xml:space="preserve"> </w:t>
      </w:r>
    </w:p>
    <w:p w:rsidR="00501EDA" w:rsidRDefault="00501EDA" w:rsidP="008D0A27">
      <w:pPr>
        <w:pStyle w:val="ListParagraph"/>
        <w:numPr>
          <w:ilvl w:val="0"/>
          <w:numId w:val="15"/>
        </w:numPr>
        <w:spacing w:after="0" w:line="240" w:lineRule="auto"/>
        <w:jc w:val="both"/>
        <w:rPr>
          <w:rFonts w:eastAsia="Times New Roman" w:cs="Arial"/>
          <w:lang w:eastAsia="en-PH"/>
        </w:rPr>
      </w:pPr>
      <w:r w:rsidRPr="00501EDA">
        <w:rPr>
          <w:rFonts w:eastAsia="Times New Roman" w:cs="Arial"/>
          <w:lang w:eastAsia="en-PH"/>
        </w:rPr>
        <w:t>Usec</w:t>
      </w:r>
      <w:r w:rsidR="005E54C7">
        <w:rPr>
          <w:rFonts w:eastAsia="Times New Roman" w:cs="Arial"/>
          <w:lang w:eastAsia="en-PH"/>
        </w:rPr>
        <w:t>. Moya put forward there was a recommendation to conduct</w:t>
      </w:r>
      <w:r>
        <w:rPr>
          <w:rFonts w:eastAsia="Times New Roman" w:cs="Arial"/>
          <w:lang w:eastAsia="en-PH"/>
        </w:rPr>
        <w:t xml:space="preserve"> a similar coaching session that is inter-agency in nature for agencies that are perennially failing to meet their targets or comply with the good governance requirements of the PBB.    </w:t>
      </w:r>
    </w:p>
    <w:p w:rsidR="00501EDA" w:rsidRPr="00501EDA" w:rsidRDefault="00501EDA" w:rsidP="00501EDA">
      <w:pPr>
        <w:pStyle w:val="ListParagraph"/>
        <w:rPr>
          <w:rFonts w:eastAsia="Times New Roman" w:cs="Arial"/>
          <w:lang w:eastAsia="en-PH"/>
        </w:rPr>
      </w:pPr>
    </w:p>
    <w:p w:rsidR="00501EDA" w:rsidRDefault="00501EDA" w:rsidP="008D0A27">
      <w:pPr>
        <w:pStyle w:val="ListParagraph"/>
        <w:numPr>
          <w:ilvl w:val="0"/>
          <w:numId w:val="15"/>
        </w:numPr>
        <w:spacing w:after="0" w:line="240" w:lineRule="auto"/>
        <w:jc w:val="both"/>
        <w:rPr>
          <w:rFonts w:eastAsia="Times New Roman" w:cs="Arial"/>
          <w:lang w:eastAsia="en-PH"/>
        </w:rPr>
      </w:pPr>
      <w:r>
        <w:rPr>
          <w:rFonts w:eastAsia="Times New Roman" w:cs="Arial"/>
          <w:lang w:eastAsia="en-PH"/>
        </w:rPr>
        <w:t>It is assumed that GCG will also do a mentoring for the GOCCs covered by RA 10149.</w:t>
      </w:r>
    </w:p>
    <w:p w:rsidR="00501EDA" w:rsidRDefault="00501EDA" w:rsidP="00501EDA">
      <w:pPr>
        <w:pStyle w:val="ListParagraph"/>
        <w:spacing w:after="0"/>
        <w:rPr>
          <w:rFonts w:eastAsia="Times New Roman" w:cs="Arial"/>
          <w:lang w:eastAsia="en-PH"/>
        </w:rPr>
      </w:pPr>
    </w:p>
    <w:p w:rsidR="005E54C7" w:rsidRDefault="005E54C7" w:rsidP="00501EDA">
      <w:pPr>
        <w:pStyle w:val="ListParagraph"/>
        <w:spacing w:after="0"/>
        <w:rPr>
          <w:rFonts w:eastAsia="Times New Roman" w:cs="Arial"/>
          <w:lang w:eastAsia="en-PH"/>
        </w:rPr>
      </w:pPr>
    </w:p>
    <w:p w:rsidR="005E54C7" w:rsidRPr="00501EDA" w:rsidRDefault="005E54C7" w:rsidP="00501EDA">
      <w:pPr>
        <w:pStyle w:val="ListParagraph"/>
        <w:spacing w:after="0"/>
        <w:rPr>
          <w:rFonts w:eastAsia="Times New Roman" w:cs="Arial"/>
          <w:lang w:eastAsia="en-PH"/>
        </w:rPr>
      </w:pPr>
    </w:p>
    <w:p w:rsidR="00501EDA" w:rsidRPr="00C41DDD" w:rsidRDefault="00501EDA" w:rsidP="005E54C7">
      <w:pPr>
        <w:spacing w:after="0" w:line="240" w:lineRule="auto"/>
        <w:ind w:left="360"/>
        <w:jc w:val="both"/>
        <w:rPr>
          <w:rFonts w:eastAsia="Times New Roman" w:cs="Arial"/>
          <w:b/>
          <w:lang w:eastAsia="en-PH"/>
        </w:rPr>
      </w:pPr>
      <w:r w:rsidRPr="00C41DDD">
        <w:rPr>
          <w:rFonts w:eastAsia="Times New Roman" w:cs="Arial"/>
          <w:b/>
          <w:lang w:eastAsia="en-PH"/>
        </w:rPr>
        <w:lastRenderedPageBreak/>
        <w:t xml:space="preserve">AGREEMENTS: </w:t>
      </w:r>
    </w:p>
    <w:p w:rsidR="003A38E6" w:rsidRPr="005E54C7" w:rsidRDefault="003A38E6" w:rsidP="008D0A27">
      <w:pPr>
        <w:pStyle w:val="ListParagraph"/>
        <w:numPr>
          <w:ilvl w:val="0"/>
          <w:numId w:val="15"/>
        </w:numPr>
        <w:spacing w:after="0" w:line="240" w:lineRule="auto"/>
        <w:jc w:val="both"/>
        <w:rPr>
          <w:rFonts w:eastAsia="Times New Roman" w:cs="Arial"/>
          <w:lang w:val="en-US" w:eastAsia="en-PH"/>
        </w:rPr>
      </w:pPr>
      <w:r w:rsidRPr="005E54C7">
        <w:rPr>
          <w:rFonts w:eastAsia="Times New Roman" w:cs="Arial"/>
          <w:lang w:val="en-US" w:eastAsia="en-PH"/>
        </w:rPr>
        <w:t>Create an</w:t>
      </w:r>
      <w:r w:rsidR="00501EDA" w:rsidRPr="005E54C7">
        <w:rPr>
          <w:rFonts w:eastAsia="Times New Roman" w:cs="Arial"/>
          <w:lang w:val="en-US" w:eastAsia="en-PH"/>
        </w:rPr>
        <w:t xml:space="preserve"> </w:t>
      </w:r>
      <w:r w:rsidRPr="005E54C7">
        <w:rPr>
          <w:rFonts w:eastAsia="Times New Roman" w:cs="Arial"/>
          <w:lang w:val="en-US" w:eastAsia="en-PH"/>
        </w:rPr>
        <w:t>i</w:t>
      </w:r>
      <w:r w:rsidR="00501EDA" w:rsidRPr="005E54C7">
        <w:rPr>
          <w:rFonts w:eastAsia="Times New Roman" w:cs="Arial"/>
          <w:lang w:val="en-US" w:eastAsia="en-PH"/>
        </w:rPr>
        <w:t>nte</w:t>
      </w:r>
      <w:r w:rsidRPr="005E54C7">
        <w:rPr>
          <w:rFonts w:eastAsia="Times New Roman" w:cs="Arial"/>
          <w:lang w:val="en-US" w:eastAsia="en-PH"/>
        </w:rPr>
        <w:t xml:space="preserve">r-agency coaching group </w:t>
      </w:r>
      <w:r w:rsidR="005E54C7">
        <w:rPr>
          <w:rFonts w:eastAsia="Times New Roman" w:cs="Arial"/>
          <w:lang w:val="en-US" w:eastAsia="en-PH"/>
        </w:rPr>
        <w:t>for</w:t>
      </w:r>
      <w:r w:rsidR="00501EDA" w:rsidRPr="005E54C7">
        <w:rPr>
          <w:rFonts w:eastAsia="Times New Roman" w:cs="Arial"/>
          <w:lang w:val="en-US" w:eastAsia="en-PH"/>
        </w:rPr>
        <w:t xml:space="preserve"> agencies that are perpetually not meeting their PBB targets and/or complying with the GGC requirements</w:t>
      </w:r>
      <w:r w:rsidRPr="005E54C7">
        <w:rPr>
          <w:rFonts w:eastAsia="Times New Roman" w:cs="Arial"/>
          <w:lang w:val="en-US" w:eastAsia="en-PH"/>
        </w:rPr>
        <w:t xml:space="preserve">.  </w:t>
      </w:r>
      <w:r w:rsidRPr="005E54C7">
        <w:rPr>
          <w:rFonts w:eastAsia="Times New Roman" w:cs="Arial"/>
          <w:lang w:eastAsia="en-PH"/>
        </w:rPr>
        <w:t>There would be four sessions: 1 for SUCs, 1 for DepEd, 1 for GOCCs covered by DBM and 1 for LWDs.</w:t>
      </w:r>
    </w:p>
    <w:p w:rsidR="00501EDA" w:rsidRPr="00501EDA" w:rsidRDefault="00501EDA" w:rsidP="00501EDA">
      <w:pPr>
        <w:pStyle w:val="ListParagraph"/>
        <w:spacing w:after="0"/>
        <w:contextualSpacing w:val="0"/>
        <w:rPr>
          <w:rFonts w:eastAsia="Times New Roman" w:cs="Arial"/>
          <w:b/>
          <w:lang w:eastAsia="en-PH"/>
        </w:rPr>
      </w:pPr>
    </w:p>
    <w:p w:rsidR="00BF0DB2" w:rsidRDefault="00BF0DB2" w:rsidP="00BF0DB2">
      <w:pPr>
        <w:spacing w:after="0" w:line="240" w:lineRule="auto"/>
        <w:ind w:firstLine="360"/>
        <w:jc w:val="both"/>
        <w:rPr>
          <w:rFonts w:eastAsia="Times New Roman" w:cs="Arial"/>
          <w:b/>
          <w:lang w:eastAsia="en-PH"/>
        </w:rPr>
      </w:pPr>
      <w:r>
        <w:rPr>
          <w:rFonts w:eastAsia="Times New Roman" w:cs="Arial"/>
          <w:b/>
          <w:lang w:eastAsia="en-PH"/>
        </w:rPr>
        <w:t xml:space="preserve">3.3 </w:t>
      </w:r>
      <w:r w:rsidRPr="00BF0DB2">
        <w:rPr>
          <w:rFonts w:eastAsia="Times New Roman" w:cs="Arial"/>
          <w:b/>
          <w:lang w:eastAsia="en-PH"/>
        </w:rPr>
        <w:t>REVISE FY 2015 GUIDELINES BASED ON TWG COMMENTS</w:t>
      </w:r>
    </w:p>
    <w:p w:rsidR="003A38E6" w:rsidRDefault="005E54C7" w:rsidP="008D0A27">
      <w:pPr>
        <w:pStyle w:val="ListParagraph"/>
        <w:numPr>
          <w:ilvl w:val="0"/>
          <w:numId w:val="15"/>
        </w:numPr>
        <w:spacing w:after="0" w:line="240" w:lineRule="auto"/>
        <w:jc w:val="both"/>
        <w:rPr>
          <w:rFonts w:eastAsia="Times New Roman" w:cs="Arial"/>
          <w:lang w:val="en-US" w:eastAsia="en-PH"/>
        </w:rPr>
      </w:pPr>
      <w:r w:rsidRPr="005E54C7">
        <w:rPr>
          <w:rFonts w:eastAsia="Times New Roman" w:cs="Arial"/>
          <w:lang w:val="en-US" w:eastAsia="en-PH"/>
        </w:rPr>
        <w:t xml:space="preserve">The third item </w:t>
      </w:r>
      <w:r w:rsidR="000722C4">
        <w:rPr>
          <w:rFonts w:eastAsia="Times New Roman" w:cs="Arial"/>
          <w:lang w:val="en-US" w:eastAsia="en-PH"/>
        </w:rPr>
        <w:t>wa</w:t>
      </w:r>
      <w:r w:rsidRPr="005E54C7">
        <w:rPr>
          <w:rFonts w:eastAsia="Times New Roman" w:cs="Arial"/>
          <w:lang w:val="en-US" w:eastAsia="en-PH"/>
        </w:rPr>
        <w:t>s the revision of the 2015 guidelines based on the TWG comment last July 10</w:t>
      </w:r>
      <w:r>
        <w:rPr>
          <w:rFonts w:eastAsia="Times New Roman" w:cs="Arial"/>
          <w:lang w:val="en-US" w:eastAsia="en-PH"/>
        </w:rPr>
        <w:t>.  Ms. Ablan reported that</w:t>
      </w:r>
      <w:r w:rsidR="000722C4">
        <w:rPr>
          <w:rFonts w:eastAsia="Times New Roman" w:cs="Arial"/>
          <w:lang w:val="en-US" w:eastAsia="en-PH"/>
        </w:rPr>
        <w:t xml:space="preserve"> it</w:t>
      </w:r>
      <w:r>
        <w:rPr>
          <w:rFonts w:eastAsia="Times New Roman" w:cs="Arial"/>
          <w:lang w:val="en-US" w:eastAsia="en-PH"/>
        </w:rPr>
        <w:t xml:space="preserve"> was already for signature of</w:t>
      </w:r>
      <w:r w:rsidR="003A38E6" w:rsidRPr="005E54C7">
        <w:rPr>
          <w:rFonts w:eastAsia="Times New Roman" w:cs="Arial"/>
          <w:lang w:val="en-US" w:eastAsia="en-PH"/>
        </w:rPr>
        <w:t xml:space="preserve"> Sec. Abad </w:t>
      </w:r>
      <w:r>
        <w:rPr>
          <w:rFonts w:eastAsia="Times New Roman" w:cs="Arial"/>
          <w:lang w:val="en-US" w:eastAsia="en-PH"/>
        </w:rPr>
        <w:t xml:space="preserve">and that the Secretariat was just waiting for its official release.  </w:t>
      </w:r>
    </w:p>
    <w:p w:rsidR="006923EB" w:rsidRDefault="006923EB" w:rsidP="006923EB">
      <w:pPr>
        <w:pStyle w:val="ListParagraph"/>
        <w:spacing w:after="0" w:line="240" w:lineRule="auto"/>
        <w:jc w:val="both"/>
        <w:rPr>
          <w:rFonts w:eastAsia="Times New Roman" w:cs="Arial"/>
          <w:lang w:val="en-US" w:eastAsia="en-PH"/>
        </w:rPr>
      </w:pPr>
      <w:r>
        <w:rPr>
          <w:rFonts w:eastAsia="Times New Roman" w:cs="Arial"/>
          <w:lang w:val="en-US" w:eastAsia="en-PH"/>
        </w:rPr>
        <w:t xml:space="preserve"> </w:t>
      </w:r>
    </w:p>
    <w:p w:rsidR="006923EB" w:rsidRPr="005E54C7" w:rsidRDefault="006923EB" w:rsidP="008D0A27">
      <w:pPr>
        <w:pStyle w:val="ListParagraph"/>
        <w:numPr>
          <w:ilvl w:val="0"/>
          <w:numId w:val="15"/>
        </w:numPr>
        <w:spacing w:after="0" w:line="240" w:lineRule="auto"/>
        <w:jc w:val="both"/>
        <w:rPr>
          <w:rFonts w:eastAsia="Times New Roman" w:cs="Arial"/>
          <w:lang w:val="en-US" w:eastAsia="en-PH"/>
        </w:rPr>
      </w:pPr>
      <w:r>
        <w:rPr>
          <w:rFonts w:eastAsia="Times New Roman" w:cs="Arial"/>
          <w:lang w:val="en-US" w:eastAsia="en-PH"/>
        </w:rPr>
        <w:t xml:space="preserve">Usec. Moya asked to put on record that the FY 2015 PBB Guidelines that was not yet signed was transmitted </w:t>
      </w:r>
      <w:r w:rsidRPr="00AD5736">
        <w:rPr>
          <w:rFonts w:eastAsia="Times New Roman" w:cs="Arial"/>
          <w:lang w:val="en-US" w:eastAsia="en-PH"/>
        </w:rPr>
        <w:t>for the agencies to adopt</w:t>
      </w:r>
      <w:r w:rsidR="00AD5736">
        <w:rPr>
          <w:rFonts w:eastAsia="Times New Roman" w:cs="Arial"/>
          <w:lang w:val="en-US" w:eastAsia="en-PH"/>
        </w:rPr>
        <w:t>.</w:t>
      </w:r>
    </w:p>
    <w:p w:rsidR="00BF0DB2" w:rsidRPr="005E54C7" w:rsidRDefault="00BF0DB2" w:rsidP="00BF0DB2">
      <w:pPr>
        <w:spacing w:after="0" w:line="240" w:lineRule="auto"/>
        <w:ind w:firstLine="360"/>
        <w:jc w:val="both"/>
        <w:rPr>
          <w:rFonts w:eastAsia="Times New Roman" w:cs="Arial"/>
          <w:lang w:val="en-US" w:eastAsia="en-PH"/>
        </w:rPr>
      </w:pPr>
    </w:p>
    <w:p w:rsidR="003A38E6" w:rsidRPr="005E54C7" w:rsidRDefault="003A38E6" w:rsidP="005E54C7">
      <w:pPr>
        <w:spacing w:after="0" w:line="240" w:lineRule="auto"/>
        <w:ind w:left="360"/>
        <w:jc w:val="both"/>
        <w:rPr>
          <w:rFonts w:eastAsia="Times New Roman" w:cs="Arial"/>
          <w:b/>
          <w:lang w:val="en-US" w:eastAsia="en-PH"/>
        </w:rPr>
      </w:pPr>
      <w:r w:rsidRPr="005E54C7">
        <w:rPr>
          <w:rFonts w:eastAsia="Times New Roman" w:cs="Arial"/>
          <w:b/>
          <w:lang w:val="en-US" w:eastAsia="en-PH"/>
        </w:rPr>
        <w:t xml:space="preserve">AGREEMENTS: </w:t>
      </w:r>
    </w:p>
    <w:p w:rsidR="006923EB" w:rsidRPr="006923EB" w:rsidRDefault="003A38E6" w:rsidP="006923EB">
      <w:pPr>
        <w:pStyle w:val="ListParagraph"/>
        <w:numPr>
          <w:ilvl w:val="0"/>
          <w:numId w:val="15"/>
        </w:numPr>
        <w:spacing w:after="0" w:line="240" w:lineRule="auto"/>
        <w:jc w:val="both"/>
        <w:rPr>
          <w:rFonts w:eastAsia="Times New Roman" w:cs="Arial"/>
          <w:lang w:val="en-US" w:eastAsia="en-PH"/>
        </w:rPr>
      </w:pPr>
      <w:r w:rsidRPr="005E54C7">
        <w:rPr>
          <w:rFonts w:eastAsia="Times New Roman" w:cs="Arial"/>
          <w:lang w:val="en-US" w:eastAsia="en-PH"/>
        </w:rPr>
        <w:t xml:space="preserve">The Secretariat was instructed to remind Usec. Moya to remind Sec. Abad of the guidelines. </w:t>
      </w:r>
    </w:p>
    <w:p w:rsidR="005E54C7" w:rsidRPr="003A38E6" w:rsidRDefault="005E54C7" w:rsidP="005E54C7">
      <w:pPr>
        <w:pStyle w:val="ListParagraph"/>
        <w:spacing w:after="0" w:line="240" w:lineRule="auto"/>
        <w:jc w:val="both"/>
        <w:rPr>
          <w:rFonts w:eastAsia="Times New Roman" w:cs="Arial"/>
          <w:b/>
          <w:i/>
          <w:lang w:val="en-US" w:eastAsia="en-PH"/>
        </w:rPr>
      </w:pPr>
    </w:p>
    <w:p w:rsidR="008B53BE" w:rsidRDefault="00BF0DB2" w:rsidP="005D6D3C">
      <w:pPr>
        <w:spacing w:after="0" w:line="240" w:lineRule="auto"/>
        <w:ind w:left="720" w:hanging="360"/>
        <w:jc w:val="both"/>
        <w:rPr>
          <w:rFonts w:eastAsia="Times New Roman" w:cs="Arial"/>
          <w:b/>
          <w:lang w:eastAsia="en-PH"/>
        </w:rPr>
      </w:pPr>
      <w:r>
        <w:rPr>
          <w:rFonts w:eastAsia="Times New Roman" w:cs="Arial"/>
          <w:b/>
          <w:lang w:eastAsia="en-PH"/>
        </w:rPr>
        <w:t xml:space="preserve">3.4 </w:t>
      </w:r>
      <w:r w:rsidRPr="00BF0DB2">
        <w:rPr>
          <w:rFonts w:eastAsia="Times New Roman" w:cs="Arial"/>
          <w:b/>
          <w:lang w:eastAsia="en-PH"/>
        </w:rPr>
        <w:t>INFORM DEPED, ARMM-DEPED, MMDA, DOTC, DBM AND DILG TO COMPLETE SUBMISSION AND REMEDY DEFICIENCIES</w:t>
      </w:r>
    </w:p>
    <w:p w:rsidR="000722C4" w:rsidRDefault="000722C4" w:rsidP="008D0A27">
      <w:pPr>
        <w:pStyle w:val="ListParagraph"/>
        <w:numPr>
          <w:ilvl w:val="0"/>
          <w:numId w:val="15"/>
        </w:numPr>
        <w:spacing w:after="0" w:line="240" w:lineRule="auto"/>
        <w:jc w:val="both"/>
        <w:rPr>
          <w:rFonts w:eastAsia="Times New Roman" w:cs="Arial"/>
          <w:lang w:eastAsia="en-PH"/>
        </w:rPr>
      </w:pPr>
      <w:r>
        <w:rPr>
          <w:rFonts w:eastAsia="Times New Roman" w:cs="Arial"/>
          <w:lang w:eastAsia="en-PH"/>
        </w:rPr>
        <w:t xml:space="preserve">Ms. Ablan reported the status of the submission/deficiencies and assessment of the agencies mentioned above.  </w:t>
      </w:r>
    </w:p>
    <w:p w:rsidR="006923EB" w:rsidRDefault="006923EB" w:rsidP="006923EB">
      <w:pPr>
        <w:pStyle w:val="ListParagraph"/>
        <w:spacing w:after="0" w:line="240" w:lineRule="auto"/>
        <w:jc w:val="both"/>
        <w:rPr>
          <w:rFonts w:eastAsia="Times New Roman" w:cs="Arial"/>
          <w:lang w:eastAsia="en-PH"/>
        </w:rPr>
      </w:pPr>
    </w:p>
    <w:p w:rsidR="006923EB" w:rsidRPr="006923EB" w:rsidRDefault="000722C4" w:rsidP="006923EB">
      <w:pPr>
        <w:pStyle w:val="ListParagraph"/>
        <w:numPr>
          <w:ilvl w:val="0"/>
          <w:numId w:val="15"/>
        </w:numPr>
        <w:spacing w:after="0" w:line="240" w:lineRule="auto"/>
        <w:jc w:val="both"/>
        <w:rPr>
          <w:rFonts w:eastAsia="Times New Roman" w:cs="Arial"/>
          <w:lang w:eastAsia="en-PH"/>
        </w:rPr>
      </w:pPr>
      <w:r w:rsidRPr="006923EB">
        <w:rPr>
          <w:rFonts w:eastAsia="Times New Roman" w:cs="Arial"/>
          <w:lang w:eastAsia="en-PH"/>
        </w:rPr>
        <w:t>ARMM-Deped</w:t>
      </w:r>
      <w:r w:rsidRPr="006923EB">
        <w:rPr>
          <w:rFonts w:eastAsia="Times New Roman" w:cs="Arial"/>
          <w:lang w:val="en-US" w:eastAsia="en-PH"/>
        </w:rPr>
        <w:t xml:space="preserve"> was already assessed to be compliant by the BMB-D on 28 July 2015.</w:t>
      </w:r>
    </w:p>
    <w:p w:rsidR="006923EB" w:rsidRPr="006923EB" w:rsidRDefault="006923EB" w:rsidP="006923EB">
      <w:pPr>
        <w:pStyle w:val="ListParagraph"/>
        <w:rPr>
          <w:rFonts w:eastAsia="Times New Roman" w:cs="Arial"/>
          <w:lang w:eastAsia="en-PH"/>
        </w:rPr>
      </w:pPr>
    </w:p>
    <w:p w:rsidR="006923EB" w:rsidRPr="006923EB" w:rsidRDefault="000722C4" w:rsidP="006923EB">
      <w:pPr>
        <w:pStyle w:val="ListParagraph"/>
        <w:numPr>
          <w:ilvl w:val="0"/>
          <w:numId w:val="15"/>
        </w:numPr>
        <w:spacing w:after="0" w:line="240" w:lineRule="auto"/>
        <w:jc w:val="both"/>
        <w:rPr>
          <w:rFonts w:eastAsia="Times New Roman" w:cs="Arial"/>
          <w:lang w:eastAsia="en-PH"/>
        </w:rPr>
      </w:pPr>
      <w:r w:rsidRPr="006923EB">
        <w:rPr>
          <w:rFonts w:eastAsia="Times New Roman" w:cs="Arial"/>
          <w:lang w:eastAsia="en-PH"/>
        </w:rPr>
        <w:t xml:space="preserve">MMDA was already </w:t>
      </w:r>
      <w:r w:rsidR="00AD0956" w:rsidRPr="007F68AB">
        <w:t>assessed</w:t>
      </w:r>
      <w:r w:rsidR="00AD0956" w:rsidRPr="009B5E5A">
        <w:t xml:space="preserve"> eligible for the grant for the PBB, but </w:t>
      </w:r>
      <w:r w:rsidR="00AD0956">
        <w:t>the Secretariat was</w:t>
      </w:r>
      <w:r w:rsidR="00AD0956" w:rsidRPr="009B5E5A">
        <w:t xml:space="preserve"> </w:t>
      </w:r>
      <w:r w:rsidR="006923EB">
        <w:t xml:space="preserve">just awaiting </w:t>
      </w:r>
      <w:r w:rsidR="00AD0956">
        <w:t>the signed assessment of</w:t>
      </w:r>
      <w:r w:rsidR="00AD0956" w:rsidRPr="009B5E5A">
        <w:t xml:space="preserve"> DBM-NCR</w:t>
      </w:r>
      <w:r w:rsidR="00AD0956">
        <w:t>.</w:t>
      </w:r>
    </w:p>
    <w:p w:rsidR="006923EB" w:rsidRPr="006923EB" w:rsidRDefault="006923EB" w:rsidP="006923EB">
      <w:pPr>
        <w:pStyle w:val="ListParagraph"/>
        <w:rPr>
          <w:rFonts w:eastAsia="Times New Roman" w:cs="Arial"/>
          <w:lang w:eastAsia="en-PH"/>
        </w:rPr>
      </w:pPr>
    </w:p>
    <w:p w:rsidR="006923EB" w:rsidRPr="006923EB" w:rsidRDefault="00AD0956" w:rsidP="006923EB">
      <w:pPr>
        <w:pStyle w:val="ListParagraph"/>
        <w:numPr>
          <w:ilvl w:val="0"/>
          <w:numId w:val="15"/>
        </w:numPr>
        <w:spacing w:after="0" w:line="240" w:lineRule="auto"/>
        <w:jc w:val="both"/>
        <w:rPr>
          <w:rFonts w:eastAsia="Times New Roman" w:cs="Arial"/>
          <w:lang w:eastAsia="en-PH"/>
        </w:rPr>
      </w:pPr>
      <w:r w:rsidRPr="006923EB">
        <w:rPr>
          <w:rFonts w:eastAsia="Times New Roman" w:cs="Arial"/>
          <w:lang w:eastAsia="en-PH"/>
        </w:rPr>
        <w:t>DOTC</w:t>
      </w:r>
      <w:r w:rsidRPr="006923EB">
        <w:rPr>
          <w:rFonts w:eastAsia="Times New Roman" w:cs="Arial"/>
          <w:lang w:val="en-US" w:eastAsia="en-PH"/>
        </w:rPr>
        <w:t xml:space="preserve"> was already assessed to be compliant by the PMS on 23 July 2015.</w:t>
      </w:r>
    </w:p>
    <w:p w:rsidR="006923EB" w:rsidRPr="006923EB" w:rsidRDefault="006923EB" w:rsidP="006923EB">
      <w:pPr>
        <w:pStyle w:val="ListParagraph"/>
        <w:rPr>
          <w:rFonts w:eastAsia="Times New Roman" w:cs="Arial"/>
          <w:lang w:eastAsia="en-PH"/>
        </w:rPr>
      </w:pPr>
    </w:p>
    <w:p w:rsidR="00AD0956" w:rsidRPr="006923EB" w:rsidRDefault="00AD0956" w:rsidP="006923EB">
      <w:pPr>
        <w:pStyle w:val="ListParagraph"/>
        <w:numPr>
          <w:ilvl w:val="0"/>
          <w:numId w:val="15"/>
        </w:numPr>
        <w:spacing w:after="0" w:line="240" w:lineRule="auto"/>
        <w:jc w:val="both"/>
        <w:rPr>
          <w:rFonts w:eastAsia="Times New Roman" w:cs="Arial"/>
          <w:lang w:eastAsia="en-PH"/>
        </w:rPr>
      </w:pPr>
      <w:r w:rsidRPr="006923EB">
        <w:rPr>
          <w:rFonts w:eastAsia="Times New Roman" w:cs="Arial"/>
          <w:lang w:eastAsia="en-PH"/>
        </w:rPr>
        <w:t>Final assessments of Form B of DBM and DILG were just awaiting the signature and clearance from Usec. Third Bagro.</w:t>
      </w:r>
    </w:p>
    <w:p w:rsidR="000722C4" w:rsidRDefault="000722C4" w:rsidP="000722C4">
      <w:pPr>
        <w:pStyle w:val="ListParagraph"/>
        <w:spacing w:after="0" w:line="240" w:lineRule="auto"/>
        <w:jc w:val="both"/>
        <w:rPr>
          <w:rFonts w:eastAsia="Times New Roman" w:cs="Arial"/>
          <w:lang w:eastAsia="en-PH"/>
        </w:rPr>
      </w:pPr>
    </w:p>
    <w:p w:rsidR="006923EB" w:rsidRDefault="00DC7E56" w:rsidP="008D0A27">
      <w:pPr>
        <w:pStyle w:val="ListParagraph"/>
        <w:numPr>
          <w:ilvl w:val="0"/>
          <w:numId w:val="15"/>
        </w:numPr>
        <w:spacing w:after="0" w:line="240" w:lineRule="auto"/>
        <w:jc w:val="both"/>
        <w:rPr>
          <w:rFonts w:eastAsia="Times New Roman" w:cs="Arial"/>
          <w:lang w:val="en-US" w:eastAsia="en-PH"/>
        </w:rPr>
      </w:pPr>
      <w:r w:rsidRPr="00A11962">
        <w:rPr>
          <w:rFonts w:eastAsia="Times New Roman" w:cs="Arial"/>
          <w:lang w:eastAsia="en-PH"/>
        </w:rPr>
        <w:t xml:space="preserve">Meanwhile, </w:t>
      </w:r>
      <w:r w:rsidR="006D5A30" w:rsidRPr="00A11962">
        <w:rPr>
          <w:rFonts w:eastAsia="Times New Roman" w:cs="Arial"/>
          <w:lang w:val="en-US" w:eastAsia="en-PH"/>
        </w:rPr>
        <w:t>DepEd</w:t>
      </w:r>
      <w:r w:rsidR="006923EB">
        <w:rPr>
          <w:rFonts w:eastAsia="Times New Roman" w:cs="Arial"/>
          <w:lang w:val="en-US" w:eastAsia="en-PH"/>
        </w:rPr>
        <w:t xml:space="preserve"> was given</w:t>
      </w:r>
      <w:r w:rsidR="00245DFC">
        <w:rPr>
          <w:rFonts w:eastAsia="Times New Roman" w:cs="Arial"/>
          <w:lang w:val="en-US" w:eastAsia="en-PH"/>
        </w:rPr>
        <w:t xml:space="preserve"> until July 31</w:t>
      </w:r>
      <w:r w:rsidR="006923EB">
        <w:rPr>
          <w:rFonts w:eastAsia="Times New Roman" w:cs="Arial"/>
          <w:lang w:val="en-US" w:eastAsia="en-PH"/>
        </w:rPr>
        <w:t xml:space="preserve"> by the TWG to submit their accomplishment report and address their deficiencies </w:t>
      </w:r>
      <w:r w:rsidR="00245DFC">
        <w:rPr>
          <w:rFonts w:eastAsia="Times New Roman" w:cs="Arial"/>
          <w:lang w:val="en-US" w:eastAsia="en-PH"/>
        </w:rPr>
        <w:t>in</w:t>
      </w:r>
      <w:r w:rsidR="006923EB">
        <w:rPr>
          <w:rFonts w:eastAsia="Times New Roman" w:cs="Arial"/>
          <w:lang w:val="en-US" w:eastAsia="en-PH"/>
        </w:rPr>
        <w:t xml:space="preserve"> PhilGEPS.  DepEd was first informed</w:t>
      </w:r>
      <w:r w:rsidR="00245DFC">
        <w:rPr>
          <w:rFonts w:eastAsia="Times New Roman" w:cs="Arial"/>
          <w:lang w:val="en-US" w:eastAsia="en-PH"/>
        </w:rPr>
        <w:t xml:space="preserve"> of the deadline</w:t>
      </w:r>
      <w:r w:rsidR="006923EB">
        <w:rPr>
          <w:rFonts w:eastAsia="Times New Roman" w:cs="Arial"/>
          <w:lang w:val="en-US" w:eastAsia="en-PH"/>
        </w:rPr>
        <w:t xml:space="preserve"> on July 14.  Another strongly worded letter was sent to DepEd on July 24 to tell them that the deadline will be on July 29.  </w:t>
      </w:r>
    </w:p>
    <w:p w:rsidR="006923EB" w:rsidRPr="006923EB" w:rsidRDefault="006923EB" w:rsidP="006923EB">
      <w:pPr>
        <w:pStyle w:val="ListParagraph"/>
        <w:rPr>
          <w:rFonts w:eastAsia="Times New Roman" w:cs="Arial"/>
          <w:lang w:val="en-US" w:eastAsia="en-PH"/>
        </w:rPr>
      </w:pPr>
    </w:p>
    <w:p w:rsidR="00724826" w:rsidRPr="006923EB" w:rsidRDefault="006923EB" w:rsidP="00724826">
      <w:pPr>
        <w:pStyle w:val="ListParagraph"/>
        <w:numPr>
          <w:ilvl w:val="0"/>
          <w:numId w:val="15"/>
        </w:numPr>
        <w:spacing w:after="0" w:line="240" w:lineRule="auto"/>
        <w:jc w:val="both"/>
        <w:rPr>
          <w:rFonts w:eastAsia="Times New Roman" w:cs="Arial"/>
          <w:lang w:val="en-US" w:eastAsia="en-PH"/>
        </w:rPr>
      </w:pPr>
      <w:r>
        <w:rPr>
          <w:rFonts w:eastAsia="Times New Roman" w:cs="Arial"/>
          <w:lang w:val="en-US" w:eastAsia="en-PH"/>
        </w:rPr>
        <w:t>DepEd</w:t>
      </w:r>
      <w:r w:rsidR="006D5A30" w:rsidRPr="00A11962">
        <w:rPr>
          <w:rFonts w:eastAsia="Times New Roman" w:cs="Arial"/>
          <w:lang w:val="en-US" w:eastAsia="en-PH"/>
        </w:rPr>
        <w:t xml:space="preserve"> submitted accomplis</w:t>
      </w:r>
      <w:r w:rsidR="00A11962" w:rsidRPr="00A11962">
        <w:rPr>
          <w:rFonts w:eastAsia="Times New Roman" w:cs="Arial"/>
          <w:lang w:val="en-US" w:eastAsia="en-PH"/>
        </w:rPr>
        <w:t>hment reports on 30 July and</w:t>
      </w:r>
      <w:r w:rsidR="006D5A30" w:rsidRPr="00A11962">
        <w:rPr>
          <w:rFonts w:eastAsia="Times New Roman" w:cs="Arial"/>
          <w:lang w:val="en-US" w:eastAsia="en-PH"/>
        </w:rPr>
        <w:t xml:space="preserve"> PhilGEPS-COC on 31 July.  </w:t>
      </w:r>
      <w:r w:rsidR="00A11962" w:rsidRPr="00A11962">
        <w:rPr>
          <w:rFonts w:eastAsia="Times New Roman" w:cs="Arial"/>
          <w:lang w:val="en-US" w:eastAsia="en-PH"/>
        </w:rPr>
        <w:t xml:space="preserve"> </w:t>
      </w:r>
      <w:r w:rsidR="006D5A30" w:rsidRPr="00A11962">
        <w:rPr>
          <w:rFonts w:eastAsia="Times New Roman" w:cs="Arial"/>
          <w:lang w:val="en-US" w:eastAsia="en-PH"/>
        </w:rPr>
        <w:t xml:space="preserve">Per PhilGEPS assessment </w:t>
      </w:r>
      <w:r w:rsidR="00A11962" w:rsidRPr="00A11962">
        <w:rPr>
          <w:rFonts w:eastAsia="Times New Roman" w:cs="Arial"/>
          <w:lang w:val="en-US" w:eastAsia="en-PH"/>
        </w:rPr>
        <w:t xml:space="preserve">on </w:t>
      </w:r>
      <w:r w:rsidR="006D5A30" w:rsidRPr="00A11962">
        <w:rPr>
          <w:rFonts w:eastAsia="Times New Roman" w:cs="Arial"/>
          <w:lang w:val="en-US" w:eastAsia="en-PH"/>
        </w:rPr>
        <w:t>3 August</w:t>
      </w:r>
      <w:r w:rsidR="00A11962" w:rsidRPr="00A11962">
        <w:rPr>
          <w:rFonts w:eastAsia="Times New Roman" w:cs="Arial"/>
          <w:lang w:val="en-US" w:eastAsia="en-PH"/>
        </w:rPr>
        <w:t xml:space="preserve"> 2015,</w:t>
      </w:r>
      <w:r w:rsidR="006D5A30" w:rsidRPr="00A11962">
        <w:rPr>
          <w:rFonts w:eastAsia="Times New Roman" w:cs="Arial"/>
          <w:lang w:val="en-US" w:eastAsia="en-PH"/>
        </w:rPr>
        <w:t xml:space="preserve"> DepEd’s submission was still incomplete.</w:t>
      </w:r>
      <w:r w:rsidR="00A11962" w:rsidRPr="00A11962">
        <w:rPr>
          <w:rFonts w:eastAsia="Times New Roman" w:cs="Arial"/>
          <w:lang w:val="en-US" w:eastAsia="en-PH"/>
        </w:rPr>
        <w:t xml:space="preserve">  </w:t>
      </w:r>
      <w:r w:rsidR="00724826">
        <w:rPr>
          <w:rFonts w:eastAsia="Times New Roman" w:cs="Arial"/>
          <w:lang w:val="en-US" w:eastAsia="en-PH"/>
        </w:rPr>
        <w:t>On 18 August, the Secretariat received the findings on DepEd’s PhilGEPS compliance</w:t>
      </w:r>
      <w:r w:rsidR="00724826">
        <w:rPr>
          <w:rStyle w:val="FootnoteReference"/>
          <w:rFonts w:eastAsia="Times New Roman" w:cs="Arial"/>
          <w:lang w:val="en-US" w:eastAsia="en-PH"/>
        </w:rPr>
        <w:footnoteReference w:id="1"/>
      </w:r>
      <w:r w:rsidR="00724826">
        <w:rPr>
          <w:rFonts w:eastAsia="Times New Roman" w:cs="Arial"/>
          <w:lang w:val="en-US" w:eastAsia="en-PH"/>
        </w:rPr>
        <w:t>.  Of the COCs submitted, two divisions from Region VIII were validated to be not compliant with PhilGEPS.</w:t>
      </w:r>
    </w:p>
    <w:p w:rsidR="00724826" w:rsidRDefault="00724826" w:rsidP="00724826">
      <w:pPr>
        <w:pStyle w:val="ListParagraph"/>
        <w:spacing w:after="0" w:line="240" w:lineRule="auto"/>
        <w:jc w:val="both"/>
        <w:rPr>
          <w:rFonts w:eastAsia="Times New Roman" w:cs="Arial"/>
          <w:lang w:val="en-US" w:eastAsia="en-PH"/>
        </w:rPr>
      </w:pPr>
    </w:p>
    <w:p w:rsidR="006923EB" w:rsidRDefault="00724826" w:rsidP="008D0A27">
      <w:pPr>
        <w:pStyle w:val="ListParagraph"/>
        <w:numPr>
          <w:ilvl w:val="0"/>
          <w:numId w:val="15"/>
        </w:numPr>
        <w:spacing w:after="0" w:line="240" w:lineRule="auto"/>
        <w:jc w:val="both"/>
        <w:rPr>
          <w:rFonts w:eastAsia="Times New Roman" w:cs="Arial"/>
          <w:lang w:val="en-US" w:eastAsia="en-PH"/>
        </w:rPr>
      </w:pPr>
      <w:r>
        <w:rPr>
          <w:rFonts w:eastAsia="Times New Roman" w:cs="Arial"/>
          <w:lang w:val="en-US" w:eastAsia="en-PH"/>
        </w:rPr>
        <w:t>Meanwhile,</w:t>
      </w:r>
      <w:r w:rsidR="00A11962">
        <w:rPr>
          <w:rFonts w:eastAsia="Times New Roman" w:cs="Arial"/>
          <w:lang w:val="en-US" w:eastAsia="en-PH"/>
        </w:rPr>
        <w:t xml:space="preserve"> p</w:t>
      </w:r>
      <w:r w:rsidR="006D5A30" w:rsidRPr="00A11962">
        <w:rPr>
          <w:rFonts w:eastAsia="Times New Roman" w:cs="Arial"/>
          <w:lang w:val="en-US" w:eastAsia="en-PH"/>
        </w:rPr>
        <w:t xml:space="preserve">er BMB-B’s assessment </w:t>
      </w:r>
      <w:r w:rsidR="00A11962">
        <w:rPr>
          <w:rFonts w:eastAsia="Times New Roman" w:cs="Arial"/>
          <w:lang w:val="en-US" w:eastAsia="en-PH"/>
        </w:rPr>
        <w:t xml:space="preserve">on </w:t>
      </w:r>
      <w:r w:rsidR="006D5A30" w:rsidRPr="00A11962">
        <w:rPr>
          <w:rFonts w:eastAsia="Times New Roman" w:cs="Arial"/>
          <w:lang w:val="en-US" w:eastAsia="en-PH"/>
        </w:rPr>
        <w:t>4 August</w:t>
      </w:r>
      <w:r w:rsidR="00A11962">
        <w:rPr>
          <w:rFonts w:eastAsia="Times New Roman" w:cs="Arial"/>
          <w:lang w:val="en-US" w:eastAsia="en-PH"/>
        </w:rPr>
        <w:t xml:space="preserve"> 2015,</w:t>
      </w:r>
      <w:r w:rsidR="006D5A30" w:rsidRPr="00A11962">
        <w:rPr>
          <w:rFonts w:eastAsia="Times New Roman" w:cs="Arial"/>
          <w:lang w:val="en-US" w:eastAsia="en-PH"/>
        </w:rPr>
        <w:t xml:space="preserve"> DepEd </w:t>
      </w:r>
      <w:r w:rsidR="00A11962">
        <w:rPr>
          <w:rFonts w:eastAsia="Times New Roman" w:cs="Arial"/>
          <w:lang w:val="en-US" w:eastAsia="en-PH"/>
        </w:rPr>
        <w:t xml:space="preserve">still had to </w:t>
      </w:r>
      <w:r w:rsidR="006D5A30" w:rsidRPr="00A11962">
        <w:rPr>
          <w:rFonts w:eastAsia="Times New Roman" w:cs="Arial"/>
          <w:lang w:val="en-US" w:eastAsia="en-PH"/>
        </w:rPr>
        <w:t>submit additional supporting data.</w:t>
      </w:r>
      <w:r w:rsidR="00EF067B">
        <w:rPr>
          <w:rFonts w:eastAsia="Times New Roman" w:cs="Arial"/>
          <w:lang w:val="en-US" w:eastAsia="en-PH"/>
        </w:rPr>
        <w:t xml:space="preserve">  </w:t>
      </w:r>
    </w:p>
    <w:p w:rsidR="006923EB" w:rsidRPr="006923EB" w:rsidRDefault="006923EB" w:rsidP="006923EB">
      <w:pPr>
        <w:pStyle w:val="ListParagraph"/>
        <w:rPr>
          <w:rFonts w:eastAsia="Times New Roman" w:cs="Arial"/>
          <w:lang w:val="en-US" w:eastAsia="en-PH"/>
        </w:rPr>
      </w:pPr>
    </w:p>
    <w:p w:rsidR="006923EB" w:rsidRDefault="006923EB" w:rsidP="00245DFC">
      <w:pPr>
        <w:pStyle w:val="ListParagraph"/>
        <w:numPr>
          <w:ilvl w:val="0"/>
          <w:numId w:val="15"/>
        </w:numPr>
        <w:spacing w:after="0" w:line="240" w:lineRule="auto"/>
        <w:jc w:val="both"/>
        <w:rPr>
          <w:rFonts w:eastAsia="Times New Roman" w:cs="Arial"/>
          <w:lang w:val="en-US" w:eastAsia="en-PH"/>
        </w:rPr>
      </w:pPr>
      <w:r w:rsidRPr="006923EB">
        <w:rPr>
          <w:rFonts w:eastAsia="Times New Roman" w:cs="Arial"/>
          <w:lang w:val="en-US" w:eastAsia="en-PH"/>
        </w:rPr>
        <w:t>De</w:t>
      </w:r>
      <w:r w:rsidR="00724826">
        <w:rPr>
          <w:rFonts w:eastAsia="Times New Roman" w:cs="Arial"/>
          <w:lang w:val="en-US" w:eastAsia="en-PH"/>
        </w:rPr>
        <w:t>pEd was</w:t>
      </w:r>
      <w:r w:rsidRPr="006923EB">
        <w:rPr>
          <w:rFonts w:eastAsia="Times New Roman" w:cs="Arial"/>
          <w:lang w:val="en-US" w:eastAsia="en-PH"/>
        </w:rPr>
        <w:t xml:space="preserve"> informed last August 11 that it needed to remedy its PhilGEPS deficiencies and submit additional requirements to BMB-B by August 14.  </w:t>
      </w:r>
      <w:r w:rsidR="00EF067B" w:rsidRPr="006923EB">
        <w:rPr>
          <w:rFonts w:eastAsia="Times New Roman" w:cs="Arial"/>
          <w:lang w:val="en-US" w:eastAsia="en-PH"/>
        </w:rPr>
        <w:t xml:space="preserve">On 13 August, DepEd requested for more time since the data will come from </w:t>
      </w:r>
      <w:r>
        <w:rPr>
          <w:rFonts w:eastAsia="Times New Roman" w:cs="Arial"/>
          <w:lang w:val="en-US" w:eastAsia="en-PH"/>
        </w:rPr>
        <w:t>its field</w:t>
      </w:r>
      <w:r w:rsidR="00EF067B" w:rsidRPr="006923EB">
        <w:rPr>
          <w:rFonts w:eastAsia="Times New Roman" w:cs="Arial"/>
          <w:lang w:val="en-US" w:eastAsia="en-PH"/>
        </w:rPr>
        <w:t xml:space="preserve"> units.</w:t>
      </w:r>
      <w:r>
        <w:rPr>
          <w:rFonts w:eastAsia="Times New Roman" w:cs="Arial"/>
          <w:lang w:val="en-US" w:eastAsia="en-PH"/>
        </w:rPr>
        <w:t xml:space="preserve">  </w:t>
      </w:r>
      <w:r w:rsidR="00724826">
        <w:rPr>
          <w:rFonts w:eastAsia="Times New Roman" w:cs="Arial"/>
          <w:lang w:val="en-US" w:eastAsia="en-PH"/>
        </w:rPr>
        <w:t>Ms. Ablan asked if the TWG w</w:t>
      </w:r>
      <w:r w:rsidR="00245DFC">
        <w:rPr>
          <w:rFonts w:eastAsia="Times New Roman" w:cs="Arial"/>
          <w:lang w:val="en-US" w:eastAsia="en-PH"/>
        </w:rPr>
        <w:t>ould</w:t>
      </w:r>
      <w:r w:rsidR="00724826">
        <w:rPr>
          <w:rFonts w:eastAsia="Times New Roman" w:cs="Arial"/>
          <w:lang w:val="en-US" w:eastAsia="en-PH"/>
        </w:rPr>
        <w:t xml:space="preserve"> </w:t>
      </w:r>
      <w:r w:rsidR="00724826">
        <w:rPr>
          <w:rFonts w:eastAsia="Times New Roman" w:cs="Arial"/>
          <w:lang w:val="en-US" w:eastAsia="en-PH"/>
        </w:rPr>
        <w:lastRenderedPageBreak/>
        <w:t xml:space="preserve">still </w:t>
      </w:r>
      <w:r w:rsidR="0098365E">
        <w:rPr>
          <w:rFonts w:eastAsia="Times New Roman" w:cs="Arial"/>
          <w:lang w:val="en-US" w:eastAsia="en-PH"/>
        </w:rPr>
        <w:t xml:space="preserve">give DepEd units a chance </w:t>
      </w:r>
      <w:r w:rsidR="00245DFC">
        <w:rPr>
          <w:rFonts w:eastAsia="Times New Roman" w:cs="Arial"/>
          <w:lang w:val="en-US" w:eastAsia="en-PH"/>
        </w:rPr>
        <w:t>to</w:t>
      </w:r>
      <w:r w:rsidR="0098365E">
        <w:rPr>
          <w:rFonts w:eastAsia="Times New Roman" w:cs="Arial"/>
          <w:lang w:val="en-US" w:eastAsia="en-PH"/>
        </w:rPr>
        <w:t xml:space="preserve"> submit their PhilGEPS COCs and whether </w:t>
      </w:r>
      <w:r w:rsidR="00245DFC">
        <w:rPr>
          <w:rFonts w:eastAsia="Times New Roman" w:cs="Arial"/>
          <w:lang w:val="en-US" w:eastAsia="en-PH"/>
        </w:rPr>
        <w:t>the TWG would</w:t>
      </w:r>
      <w:r w:rsidR="0098365E">
        <w:rPr>
          <w:rFonts w:eastAsia="Times New Roman" w:cs="Arial"/>
          <w:lang w:val="en-US" w:eastAsia="en-PH"/>
        </w:rPr>
        <w:t xml:space="preserve"> still give additional time to submit the required documents by BMB-B.</w:t>
      </w:r>
    </w:p>
    <w:p w:rsidR="006923EB" w:rsidRPr="006923EB" w:rsidRDefault="006923EB" w:rsidP="006923EB">
      <w:pPr>
        <w:pStyle w:val="ListParagraph"/>
        <w:rPr>
          <w:rFonts w:eastAsia="Times New Roman" w:cs="Arial"/>
          <w:lang w:val="en-US" w:eastAsia="en-PH"/>
        </w:rPr>
      </w:pPr>
    </w:p>
    <w:p w:rsidR="00EF067B" w:rsidRPr="00A11962" w:rsidRDefault="00EF067B" w:rsidP="00245DFC">
      <w:pPr>
        <w:pStyle w:val="ListParagraph"/>
        <w:numPr>
          <w:ilvl w:val="0"/>
          <w:numId w:val="15"/>
        </w:numPr>
        <w:spacing w:after="0" w:line="240" w:lineRule="auto"/>
        <w:jc w:val="both"/>
        <w:rPr>
          <w:rFonts w:eastAsia="Times New Roman" w:cs="Arial"/>
          <w:lang w:val="en-US" w:eastAsia="en-PH"/>
        </w:rPr>
      </w:pPr>
      <w:r>
        <w:rPr>
          <w:rFonts w:eastAsia="Times New Roman" w:cs="Arial"/>
          <w:lang w:val="en-US" w:eastAsia="en-PH"/>
        </w:rPr>
        <w:t xml:space="preserve">Usec.  </w:t>
      </w:r>
      <w:r w:rsidR="00DA2149">
        <w:rPr>
          <w:rFonts w:eastAsia="Times New Roman" w:cs="Arial"/>
          <w:lang w:val="en-US" w:eastAsia="en-PH"/>
        </w:rPr>
        <w:t xml:space="preserve">Moya recalled that there was a similar situation in the past wherein GCG requested, in behalf of the GOCCs under them, for an extension of deadline of submission of requirements.  This was turned down by the TWG.  Usec. Moya then asked if there would be an issue if DepEd’s request for another extension be granted.  Atty. Gerald Reyes responded that since DepEd’s case </w:t>
      </w:r>
      <w:r w:rsidR="0098365E">
        <w:rPr>
          <w:rFonts w:eastAsia="Times New Roman" w:cs="Arial"/>
          <w:lang w:val="en-US" w:eastAsia="en-PH"/>
        </w:rPr>
        <w:t>wa</w:t>
      </w:r>
      <w:r w:rsidR="00DA2149">
        <w:rPr>
          <w:rFonts w:eastAsia="Times New Roman" w:cs="Arial"/>
          <w:lang w:val="en-US" w:eastAsia="en-PH"/>
        </w:rPr>
        <w:t>s special, there would be</w:t>
      </w:r>
      <w:r w:rsidR="00245DFC">
        <w:rPr>
          <w:rFonts w:eastAsia="Times New Roman" w:cs="Arial"/>
          <w:lang w:val="en-US" w:eastAsia="en-PH"/>
        </w:rPr>
        <w:t xml:space="preserve"> no</w:t>
      </w:r>
      <w:r w:rsidR="00DA2149">
        <w:rPr>
          <w:rFonts w:eastAsia="Times New Roman" w:cs="Arial"/>
          <w:lang w:val="en-US" w:eastAsia="en-PH"/>
        </w:rPr>
        <w:t xml:space="preserve"> issue on the part of GCG.   </w:t>
      </w:r>
    </w:p>
    <w:p w:rsidR="00DC7E56" w:rsidRPr="00245DFC" w:rsidRDefault="00DA2149" w:rsidP="00DA2149">
      <w:pPr>
        <w:pStyle w:val="ListParagraph"/>
        <w:spacing w:after="0" w:line="240" w:lineRule="auto"/>
        <w:jc w:val="both"/>
        <w:rPr>
          <w:rFonts w:eastAsia="Times New Roman" w:cs="Arial"/>
          <w:lang w:val="en-US" w:eastAsia="en-PH"/>
        </w:rPr>
      </w:pPr>
      <w:r w:rsidRPr="00245DFC">
        <w:rPr>
          <w:rFonts w:eastAsia="Times New Roman" w:cs="Arial"/>
          <w:lang w:val="en-US" w:eastAsia="en-PH"/>
        </w:rPr>
        <w:t xml:space="preserve"> </w:t>
      </w:r>
    </w:p>
    <w:p w:rsidR="00A5726E" w:rsidRDefault="0098365E" w:rsidP="00A5726E">
      <w:pPr>
        <w:pStyle w:val="ListParagraph"/>
        <w:numPr>
          <w:ilvl w:val="0"/>
          <w:numId w:val="15"/>
        </w:numPr>
        <w:spacing w:after="0" w:line="240" w:lineRule="auto"/>
        <w:jc w:val="both"/>
        <w:rPr>
          <w:rFonts w:eastAsia="Times New Roman" w:cs="Arial"/>
          <w:lang w:eastAsia="en-PH"/>
        </w:rPr>
      </w:pPr>
      <w:r>
        <w:rPr>
          <w:rFonts w:eastAsia="Times New Roman" w:cs="Arial"/>
          <w:lang w:eastAsia="en-PH"/>
        </w:rPr>
        <w:t>Director Albert Kimpo</w:t>
      </w:r>
      <w:r w:rsidR="00DA2149">
        <w:rPr>
          <w:rFonts w:eastAsia="Times New Roman" w:cs="Arial"/>
          <w:lang w:eastAsia="en-PH"/>
        </w:rPr>
        <w:t xml:space="preserve"> </w:t>
      </w:r>
      <w:r>
        <w:rPr>
          <w:rFonts w:eastAsia="Times New Roman" w:cs="Arial"/>
          <w:lang w:eastAsia="en-PH"/>
        </w:rPr>
        <w:t>mentioned</w:t>
      </w:r>
      <w:r w:rsidR="00DA2149">
        <w:rPr>
          <w:rFonts w:eastAsia="Times New Roman" w:cs="Arial"/>
          <w:lang w:eastAsia="en-PH"/>
        </w:rPr>
        <w:t xml:space="preserve"> that during the previous TWG meeting, he was supposed to suggest that if DepEd still failed to submit the requirements for the PBB, they could adopt the mechanism in the previous PBB </w:t>
      </w:r>
      <w:r>
        <w:rPr>
          <w:rFonts w:eastAsia="Times New Roman" w:cs="Arial"/>
          <w:lang w:eastAsia="en-PH"/>
        </w:rPr>
        <w:t>cycles</w:t>
      </w:r>
      <w:r w:rsidR="00DA2149">
        <w:rPr>
          <w:rFonts w:eastAsia="Times New Roman" w:cs="Arial"/>
          <w:lang w:eastAsia="en-PH"/>
        </w:rPr>
        <w:t xml:space="preserve"> wherein the validation of DepEd’s complian</w:t>
      </w:r>
      <w:r>
        <w:rPr>
          <w:rFonts w:eastAsia="Times New Roman" w:cs="Arial"/>
          <w:lang w:eastAsia="en-PH"/>
        </w:rPr>
        <w:t>c</w:t>
      </w:r>
      <w:r w:rsidR="00DA2149">
        <w:rPr>
          <w:rFonts w:eastAsia="Times New Roman" w:cs="Arial"/>
          <w:lang w:eastAsia="en-PH"/>
        </w:rPr>
        <w:t xml:space="preserve">e was on a per region basis.  This way, those who are diligently complying with the requirements will be rewarded ahead of others.  </w:t>
      </w:r>
      <w:r>
        <w:rPr>
          <w:rFonts w:eastAsia="Times New Roman" w:cs="Arial"/>
          <w:lang w:eastAsia="en-PH"/>
        </w:rPr>
        <w:t xml:space="preserve">He then asked if </w:t>
      </w:r>
      <w:r w:rsidR="008604B0">
        <w:rPr>
          <w:rFonts w:eastAsia="Times New Roman" w:cs="Arial"/>
          <w:lang w:eastAsia="en-PH"/>
        </w:rPr>
        <w:t xml:space="preserve">there was a </w:t>
      </w:r>
      <w:r>
        <w:rPr>
          <w:rFonts w:eastAsia="Times New Roman" w:cs="Arial"/>
          <w:lang w:eastAsia="en-PH"/>
        </w:rPr>
        <w:t>DepEd</w:t>
      </w:r>
      <w:r w:rsidR="008604B0">
        <w:rPr>
          <w:rFonts w:eastAsia="Times New Roman" w:cs="Arial"/>
          <w:lang w:eastAsia="en-PH"/>
        </w:rPr>
        <w:t xml:space="preserve"> region that </w:t>
      </w:r>
      <w:r w:rsidR="00245DFC">
        <w:rPr>
          <w:rFonts w:eastAsia="Times New Roman" w:cs="Arial"/>
          <w:lang w:eastAsia="en-PH"/>
        </w:rPr>
        <w:t xml:space="preserve">has </w:t>
      </w:r>
      <w:r w:rsidR="008604B0">
        <w:rPr>
          <w:rFonts w:eastAsia="Times New Roman" w:cs="Arial"/>
          <w:lang w:eastAsia="en-PH"/>
        </w:rPr>
        <w:t>fully complied with all the re</w:t>
      </w:r>
      <w:r w:rsidR="0030166E">
        <w:rPr>
          <w:rFonts w:eastAsia="Times New Roman" w:cs="Arial"/>
          <w:lang w:eastAsia="en-PH"/>
        </w:rPr>
        <w:t>quirements</w:t>
      </w:r>
      <w:r>
        <w:rPr>
          <w:rFonts w:eastAsia="Times New Roman" w:cs="Arial"/>
          <w:lang w:eastAsia="en-PH"/>
        </w:rPr>
        <w:t>.</w:t>
      </w:r>
      <w:r w:rsidR="00A5726E" w:rsidRPr="00A5726E">
        <w:rPr>
          <w:rFonts w:eastAsia="Times New Roman" w:cs="Arial"/>
          <w:lang w:eastAsia="en-PH"/>
        </w:rPr>
        <w:t xml:space="preserve"> </w:t>
      </w:r>
    </w:p>
    <w:p w:rsidR="00A5726E" w:rsidRPr="00A5726E" w:rsidRDefault="00A5726E" w:rsidP="00A5726E">
      <w:pPr>
        <w:pStyle w:val="ListParagraph"/>
        <w:rPr>
          <w:rFonts w:eastAsia="Times New Roman" w:cs="Arial"/>
          <w:lang w:eastAsia="en-PH"/>
        </w:rPr>
      </w:pPr>
    </w:p>
    <w:p w:rsidR="00DA2149" w:rsidRDefault="00DA2149" w:rsidP="008D0A27">
      <w:pPr>
        <w:pStyle w:val="ListParagraph"/>
        <w:numPr>
          <w:ilvl w:val="0"/>
          <w:numId w:val="15"/>
        </w:numPr>
        <w:spacing w:after="0" w:line="240" w:lineRule="auto"/>
        <w:jc w:val="both"/>
        <w:rPr>
          <w:rFonts w:eastAsia="Times New Roman" w:cs="Arial"/>
          <w:lang w:eastAsia="en-PH"/>
        </w:rPr>
      </w:pPr>
      <w:r>
        <w:rPr>
          <w:rFonts w:eastAsia="Times New Roman" w:cs="Arial"/>
          <w:lang w:eastAsia="en-PH"/>
        </w:rPr>
        <w:t>Ms. Ablan explained that as of that day, there were 15 DepEd units that did not submit yet their PhilGEPS COC</w:t>
      </w:r>
      <w:r w:rsidR="00A5726E">
        <w:rPr>
          <w:rFonts w:eastAsia="Times New Roman" w:cs="Arial"/>
          <w:lang w:eastAsia="en-PH"/>
        </w:rPr>
        <w:t>s</w:t>
      </w:r>
      <w:r w:rsidR="00D7226A">
        <w:rPr>
          <w:rFonts w:eastAsia="Times New Roman" w:cs="Arial"/>
          <w:lang w:eastAsia="en-PH"/>
        </w:rPr>
        <w:t xml:space="preserve">.  Those that did not submit include units from Regions 4, 12, Kalinga Apayao, Mt. Province, Capiz, Tagbilaran; and attached agencies such as </w:t>
      </w:r>
      <w:r w:rsidR="00D7226A" w:rsidRPr="009B5E5A">
        <w:t>National Book Development Council, National Council for Childrens Television, Philippine High School for the Arts, Early Childhood Development Center</w:t>
      </w:r>
      <w:r w:rsidR="00D7226A">
        <w:t xml:space="preserve">.  There were also those that submitted COCs but not signed by BAC Chair and HOPE including units from </w:t>
      </w:r>
      <w:r w:rsidR="00D7226A" w:rsidRPr="009B5E5A">
        <w:t>Rizal, Negros Oriental, Surigao Del Sur, Tarlac and Dinagal Island</w:t>
      </w:r>
      <w:r w:rsidR="00D7226A">
        <w:t xml:space="preserve">.  </w:t>
      </w:r>
      <w:r w:rsidR="00D7226A">
        <w:rPr>
          <w:rFonts w:eastAsia="Times New Roman" w:cs="Arial"/>
          <w:lang w:eastAsia="en-PH"/>
        </w:rPr>
        <w:t>T</w:t>
      </w:r>
      <w:r>
        <w:rPr>
          <w:rFonts w:eastAsia="Times New Roman" w:cs="Arial"/>
          <w:lang w:eastAsia="en-PH"/>
        </w:rPr>
        <w:t>here were two DepEd units that were still deficient in PhilGEPS</w:t>
      </w:r>
      <w:r w:rsidR="00D7226A">
        <w:rPr>
          <w:rFonts w:eastAsia="Times New Roman" w:cs="Arial"/>
          <w:lang w:eastAsia="en-PH"/>
        </w:rPr>
        <w:t>.  A</w:t>
      </w:r>
      <w:r>
        <w:rPr>
          <w:rFonts w:eastAsia="Times New Roman" w:cs="Arial"/>
          <w:lang w:eastAsia="en-PH"/>
        </w:rPr>
        <w:t xml:space="preserve">nd the whole DepEd still </w:t>
      </w:r>
      <w:r w:rsidR="00D7226A">
        <w:rPr>
          <w:rFonts w:eastAsia="Times New Roman" w:cs="Arial"/>
          <w:lang w:eastAsia="en-PH"/>
        </w:rPr>
        <w:t>needed</w:t>
      </w:r>
      <w:r>
        <w:rPr>
          <w:rFonts w:eastAsia="Times New Roman" w:cs="Arial"/>
          <w:lang w:eastAsia="en-PH"/>
        </w:rPr>
        <w:t xml:space="preserve"> to comply with the </w:t>
      </w:r>
      <w:r w:rsidR="00A5726E">
        <w:rPr>
          <w:rFonts w:eastAsia="Times New Roman" w:cs="Arial"/>
          <w:lang w:eastAsia="en-PH"/>
        </w:rPr>
        <w:t xml:space="preserve">additional </w:t>
      </w:r>
      <w:r>
        <w:rPr>
          <w:rFonts w:eastAsia="Times New Roman" w:cs="Arial"/>
          <w:lang w:eastAsia="en-PH"/>
        </w:rPr>
        <w:t xml:space="preserve">requirements </w:t>
      </w:r>
      <w:r w:rsidR="00A5726E">
        <w:rPr>
          <w:rFonts w:eastAsia="Times New Roman" w:cs="Arial"/>
          <w:lang w:eastAsia="en-PH"/>
        </w:rPr>
        <w:t>requested by</w:t>
      </w:r>
      <w:r>
        <w:rPr>
          <w:rFonts w:eastAsia="Times New Roman" w:cs="Arial"/>
          <w:lang w:eastAsia="en-PH"/>
        </w:rPr>
        <w:t xml:space="preserve"> BMB-B.</w:t>
      </w:r>
    </w:p>
    <w:p w:rsidR="00DF6B5B" w:rsidRPr="00DF6B5B" w:rsidRDefault="00DF6B5B" w:rsidP="00DF6B5B">
      <w:pPr>
        <w:pStyle w:val="ListParagraph"/>
        <w:rPr>
          <w:rFonts w:eastAsia="Times New Roman" w:cs="Arial"/>
          <w:lang w:eastAsia="en-PH"/>
        </w:rPr>
      </w:pPr>
    </w:p>
    <w:p w:rsidR="008604B0" w:rsidRDefault="00DF6B5B" w:rsidP="008D0A27">
      <w:pPr>
        <w:pStyle w:val="ListParagraph"/>
        <w:numPr>
          <w:ilvl w:val="0"/>
          <w:numId w:val="15"/>
        </w:numPr>
        <w:spacing w:after="0" w:line="240" w:lineRule="auto"/>
        <w:jc w:val="both"/>
        <w:rPr>
          <w:rFonts w:eastAsia="Times New Roman" w:cs="Arial"/>
          <w:lang w:eastAsia="en-PH"/>
        </w:rPr>
      </w:pPr>
      <w:r>
        <w:rPr>
          <w:rFonts w:eastAsia="Times New Roman" w:cs="Arial"/>
          <w:lang w:eastAsia="en-PH"/>
        </w:rPr>
        <w:t xml:space="preserve">Usec. Moya then asked if it would be possible </w:t>
      </w:r>
      <w:r w:rsidR="00BC4704">
        <w:rPr>
          <w:rFonts w:eastAsia="Times New Roman" w:cs="Arial"/>
          <w:lang w:eastAsia="en-PH"/>
        </w:rPr>
        <w:t>to proceed with the</w:t>
      </w:r>
      <w:r w:rsidR="008604B0">
        <w:rPr>
          <w:rFonts w:eastAsia="Times New Roman" w:cs="Arial"/>
          <w:lang w:eastAsia="en-PH"/>
        </w:rPr>
        <w:t xml:space="preserve"> awarding of PBB to DepEd groups (i.e., division groups) that were already assessed to be compliant with PBB.  </w:t>
      </w:r>
    </w:p>
    <w:p w:rsidR="008604B0" w:rsidRPr="008604B0" w:rsidRDefault="008604B0" w:rsidP="008604B0">
      <w:pPr>
        <w:pStyle w:val="ListParagraph"/>
        <w:rPr>
          <w:rFonts w:eastAsia="Times New Roman" w:cs="Arial"/>
          <w:lang w:eastAsia="en-PH"/>
        </w:rPr>
      </w:pPr>
    </w:p>
    <w:p w:rsidR="008604B0" w:rsidRDefault="008604B0" w:rsidP="008D0A27">
      <w:pPr>
        <w:pStyle w:val="ListParagraph"/>
        <w:numPr>
          <w:ilvl w:val="0"/>
          <w:numId w:val="15"/>
        </w:numPr>
        <w:spacing w:after="0" w:line="240" w:lineRule="auto"/>
        <w:jc w:val="both"/>
        <w:rPr>
          <w:rFonts w:eastAsia="Times New Roman" w:cs="Arial"/>
          <w:lang w:eastAsia="en-PH"/>
        </w:rPr>
      </w:pPr>
      <w:r>
        <w:rPr>
          <w:rFonts w:eastAsia="Times New Roman" w:cs="Arial"/>
          <w:lang w:eastAsia="en-PH"/>
        </w:rPr>
        <w:t>SVP Mendoza rep</w:t>
      </w:r>
      <w:r w:rsidR="00245DFC">
        <w:rPr>
          <w:rFonts w:eastAsia="Times New Roman" w:cs="Arial"/>
          <w:lang w:eastAsia="en-PH"/>
        </w:rPr>
        <w:t>lied that it would</w:t>
      </w:r>
      <w:r>
        <w:rPr>
          <w:rFonts w:eastAsia="Times New Roman" w:cs="Arial"/>
          <w:lang w:eastAsia="en-PH"/>
        </w:rPr>
        <w:t xml:space="preserve"> be difficult because first, they have to satisfy the good governance conditions and as</w:t>
      </w:r>
      <w:r w:rsidR="00C24277">
        <w:rPr>
          <w:rFonts w:eastAsia="Times New Roman" w:cs="Arial"/>
          <w:lang w:eastAsia="en-PH"/>
        </w:rPr>
        <w:t xml:space="preserve"> of that day, 17 DepEd offices hav</w:t>
      </w:r>
      <w:r>
        <w:rPr>
          <w:rFonts w:eastAsia="Times New Roman" w:cs="Arial"/>
          <w:lang w:eastAsia="en-PH"/>
        </w:rPr>
        <w:t xml:space="preserve">e yet to remedy deficiencies in PhilGEPS.  Second, assuming that those that were still not compliant with PhilGEPS would be isolated, the physical accomplishment of the entire DepEd still had to be assessed.  DepEd ranked the schools within a division, but this would happen only if the division was assessed to achieve its targets.  </w:t>
      </w:r>
    </w:p>
    <w:p w:rsidR="008604B0" w:rsidRPr="008604B0" w:rsidRDefault="008604B0" w:rsidP="008604B0">
      <w:pPr>
        <w:pStyle w:val="ListParagraph"/>
        <w:rPr>
          <w:rFonts w:eastAsia="Times New Roman" w:cs="Arial"/>
          <w:lang w:eastAsia="en-PH"/>
        </w:rPr>
      </w:pPr>
    </w:p>
    <w:p w:rsidR="00DF6B5B" w:rsidRPr="00E66129" w:rsidRDefault="008604B0" w:rsidP="00E66129">
      <w:pPr>
        <w:pStyle w:val="ListParagraph"/>
        <w:numPr>
          <w:ilvl w:val="0"/>
          <w:numId w:val="15"/>
        </w:numPr>
        <w:spacing w:after="0" w:line="240" w:lineRule="auto"/>
        <w:jc w:val="both"/>
        <w:rPr>
          <w:rFonts w:eastAsia="Times New Roman" w:cs="Arial"/>
          <w:lang w:eastAsia="en-PH"/>
        </w:rPr>
      </w:pPr>
      <w:r>
        <w:rPr>
          <w:rFonts w:eastAsia="Times New Roman" w:cs="Arial"/>
          <w:lang w:eastAsia="en-PH"/>
        </w:rPr>
        <w:t>Usec. Moya then conceded</w:t>
      </w:r>
      <w:r w:rsidR="00E66129">
        <w:rPr>
          <w:rFonts w:eastAsia="Times New Roman" w:cs="Arial"/>
          <w:lang w:eastAsia="en-PH"/>
        </w:rPr>
        <w:t xml:space="preserve"> and raised that the options then were just to extend the deadline of submission of DepEd or disqualify the agency. </w:t>
      </w:r>
      <w:r w:rsidR="00BC4704">
        <w:rPr>
          <w:rFonts w:eastAsia="Times New Roman" w:cs="Arial"/>
          <w:lang w:eastAsia="en-PH"/>
        </w:rPr>
        <w:t xml:space="preserve"> </w:t>
      </w:r>
      <w:r w:rsidR="00BC4704" w:rsidRPr="00E66129">
        <w:rPr>
          <w:rFonts w:eastAsia="Times New Roman" w:cs="Arial"/>
          <w:lang w:eastAsia="en-PH"/>
        </w:rPr>
        <w:t>He asked</w:t>
      </w:r>
      <w:r w:rsidR="00E66129">
        <w:rPr>
          <w:rFonts w:eastAsia="Times New Roman" w:cs="Arial"/>
          <w:lang w:eastAsia="en-PH"/>
        </w:rPr>
        <w:t xml:space="preserve"> the body</w:t>
      </w:r>
      <w:r w:rsidR="00BC4704" w:rsidRPr="00E66129">
        <w:rPr>
          <w:rFonts w:eastAsia="Times New Roman" w:cs="Arial"/>
          <w:lang w:eastAsia="en-PH"/>
        </w:rPr>
        <w:t xml:space="preserve"> if there was a creative b</w:t>
      </w:r>
      <w:r w:rsidR="00E66129">
        <w:rPr>
          <w:rFonts w:eastAsia="Times New Roman" w:cs="Arial"/>
          <w:lang w:eastAsia="en-PH"/>
        </w:rPr>
        <w:t>ut</w:t>
      </w:r>
      <w:r w:rsidR="00BC4704" w:rsidRPr="00E66129">
        <w:rPr>
          <w:rFonts w:eastAsia="Times New Roman" w:cs="Arial"/>
          <w:lang w:eastAsia="en-PH"/>
        </w:rPr>
        <w:t xml:space="preserve"> ethically correct way to proceed with the grant of the bonus to DepEd</w:t>
      </w:r>
      <w:r w:rsidR="00245DFC">
        <w:rPr>
          <w:rFonts w:eastAsia="Times New Roman" w:cs="Arial"/>
          <w:lang w:eastAsia="en-PH"/>
        </w:rPr>
        <w:t>, so that only those DepEd units that would remain not compliant will be elevated to the AO 25 IATF and not the entire agency.</w:t>
      </w:r>
    </w:p>
    <w:p w:rsidR="00E66129" w:rsidRPr="00E66129" w:rsidRDefault="00E66129" w:rsidP="00E66129">
      <w:pPr>
        <w:pStyle w:val="ListParagraph"/>
        <w:rPr>
          <w:rFonts w:eastAsia="Times New Roman" w:cs="Arial"/>
          <w:lang w:eastAsia="en-PH"/>
        </w:rPr>
      </w:pPr>
    </w:p>
    <w:p w:rsidR="00E66129" w:rsidRDefault="00E66129" w:rsidP="00E66129">
      <w:pPr>
        <w:pStyle w:val="ListParagraph"/>
        <w:numPr>
          <w:ilvl w:val="0"/>
          <w:numId w:val="15"/>
        </w:numPr>
        <w:spacing w:after="0" w:line="240" w:lineRule="auto"/>
        <w:jc w:val="both"/>
        <w:rPr>
          <w:rFonts w:eastAsia="Times New Roman" w:cs="Arial"/>
          <w:lang w:eastAsia="en-PH"/>
        </w:rPr>
      </w:pPr>
      <w:r>
        <w:rPr>
          <w:rFonts w:eastAsia="Times New Roman" w:cs="Arial"/>
          <w:lang w:eastAsia="en-PH"/>
        </w:rPr>
        <w:t xml:space="preserve">Dir. Kimpo put forward what he learned from Sec. Bro. Armin Luistro, as of SY 2014-2015, there were about 46,624 public schools in the country, approximately 21M public school students and about 684,489 public school teachers.  These are the figures that will be affected by the decision of the IATF on this matter.  </w:t>
      </w:r>
    </w:p>
    <w:p w:rsidR="00C27981" w:rsidRPr="00C27981" w:rsidRDefault="00C27981" w:rsidP="00C27981">
      <w:pPr>
        <w:pStyle w:val="ListParagraph"/>
        <w:rPr>
          <w:rFonts w:eastAsia="Times New Roman" w:cs="Arial"/>
          <w:lang w:eastAsia="en-PH"/>
        </w:rPr>
      </w:pPr>
    </w:p>
    <w:p w:rsidR="00C27981" w:rsidRPr="00A5726E" w:rsidRDefault="00C27981" w:rsidP="00E66129">
      <w:pPr>
        <w:pStyle w:val="ListParagraph"/>
        <w:numPr>
          <w:ilvl w:val="0"/>
          <w:numId w:val="15"/>
        </w:numPr>
        <w:spacing w:after="0" w:line="240" w:lineRule="auto"/>
        <w:jc w:val="both"/>
        <w:rPr>
          <w:rFonts w:eastAsia="Times New Roman" w:cs="Arial"/>
          <w:lang w:eastAsia="en-PH"/>
        </w:rPr>
      </w:pPr>
      <w:r>
        <w:rPr>
          <w:rFonts w:eastAsia="Times New Roman" w:cs="Arial"/>
          <w:lang w:eastAsia="en-PH"/>
        </w:rPr>
        <w:t>Director Aniceto Maghirang suggested having a TWG meeting with DepEd Mancom.</w:t>
      </w:r>
    </w:p>
    <w:p w:rsidR="00BC4704" w:rsidRDefault="00BC4704" w:rsidP="00BC4704">
      <w:pPr>
        <w:pStyle w:val="ListParagraph"/>
        <w:rPr>
          <w:rFonts w:eastAsia="Times New Roman" w:cs="Arial"/>
          <w:lang w:eastAsia="en-PH"/>
        </w:rPr>
      </w:pPr>
    </w:p>
    <w:p w:rsidR="005D6D3C" w:rsidRDefault="005D6D3C" w:rsidP="00BC4704">
      <w:pPr>
        <w:pStyle w:val="ListParagraph"/>
        <w:rPr>
          <w:rFonts w:eastAsia="Times New Roman" w:cs="Arial"/>
          <w:lang w:eastAsia="en-PH"/>
        </w:rPr>
      </w:pPr>
    </w:p>
    <w:p w:rsidR="00C27981" w:rsidRDefault="00C27981" w:rsidP="00C27981">
      <w:pPr>
        <w:pStyle w:val="ListParagraph"/>
        <w:numPr>
          <w:ilvl w:val="0"/>
          <w:numId w:val="15"/>
        </w:numPr>
        <w:spacing w:after="0" w:line="240" w:lineRule="auto"/>
        <w:jc w:val="both"/>
        <w:rPr>
          <w:rFonts w:eastAsia="Times New Roman" w:cs="Arial"/>
          <w:lang w:eastAsia="en-PH"/>
        </w:rPr>
      </w:pPr>
      <w:r w:rsidRPr="00340066">
        <w:rPr>
          <w:rFonts w:eastAsia="Times New Roman" w:cs="Arial"/>
          <w:lang w:eastAsia="en-PH"/>
        </w:rPr>
        <w:lastRenderedPageBreak/>
        <w:t xml:space="preserve">SVP Mendoza said that DepEd is actually following a different timeline insofar as the submission of performance accomplishment is concerned.  DepEd is required to submit their accomplishment report in April of the following year considering the DepEd follows the School Year calendar.  </w:t>
      </w:r>
      <w:r w:rsidR="00245DFC">
        <w:rPr>
          <w:rFonts w:eastAsia="Times New Roman" w:cs="Arial"/>
          <w:lang w:eastAsia="en-PH"/>
        </w:rPr>
        <w:t>Thus theoretically</w:t>
      </w:r>
      <w:r w:rsidRPr="00340066">
        <w:rPr>
          <w:rFonts w:eastAsia="Times New Roman" w:cs="Arial"/>
          <w:lang w:eastAsia="en-PH"/>
        </w:rPr>
        <w:t>, DepEd has still some windows</w:t>
      </w:r>
      <w:r w:rsidR="00245DFC">
        <w:rPr>
          <w:rFonts w:eastAsia="Times New Roman" w:cs="Arial"/>
          <w:lang w:eastAsia="en-PH"/>
        </w:rPr>
        <w:t xml:space="preserve"> of extension</w:t>
      </w:r>
      <w:r w:rsidRPr="00340066">
        <w:rPr>
          <w:rFonts w:eastAsia="Times New Roman" w:cs="Arial"/>
          <w:lang w:eastAsia="en-PH"/>
        </w:rPr>
        <w:t xml:space="preserve"> to complete their compliance</w:t>
      </w:r>
      <w:r w:rsidR="00245DFC">
        <w:rPr>
          <w:rFonts w:eastAsia="Times New Roman" w:cs="Arial"/>
          <w:lang w:eastAsia="en-PH"/>
        </w:rPr>
        <w:t xml:space="preserve">.  She added that </w:t>
      </w:r>
      <w:r w:rsidRPr="00340066">
        <w:rPr>
          <w:rFonts w:eastAsia="Times New Roman" w:cs="Arial"/>
          <w:lang w:eastAsia="en-PH"/>
        </w:rPr>
        <w:t>historically</w:t>
      </w:r>
      <w:r w:rsidR="00245DFC">
        <w:rPr>
          <w:rFonts w:eastAsia="Times New Roman" w:cs="Arial"/>
          <w:lang w:eastAsia="en-PH"/>
        </w:rPr>
        <w:t>,</w:t>
      </w:r>
      <w:r w:rsidRPr="00340066">
        <w:rPr>
          <w:rFonts w:eastAsia="Times New Roman" w:cs="Arial"/>
          <w:lang w:eastAsia="en-PH"/>
        </w:rPr>
        <w:t xml:space="preserve"> DepEd’s bonus is given within the October to December period.  In fact DepEd is always reminded of their requirements before September in anticipation of the Teachers day in th</w:t>
      </w:r>
      <w:r>
        <w:rPr>
          <w:rFonts w:eastAsia="Times New Roman" w:cs="Arial"/>
          <w:lang w:eastAsia="en-PH"/>
        </w:rPr>
        <w:t xml:space="preserve">e said month.  </w:t>
      </w:r>
    </w:p>
    <w:p w:rsidR="00090ED3" w:rsidRPr="00090ED3" w:rsidRDefault="00090ED3" w:rsidP="00090ED3">
      <w:pPr>
        <w:pStyle w:val="ListParagraph"/>
        <w:rPr>
          <w:rFonts w:eastAsia="Times New Roman" w:cs="Arial"/>
          <w:lang w:eastAsia="en-PH"/>
        </w:rPr>
      </w:pPr>
    </w:p>
    <w:p w:rsidR="00586B9B" w:rsidRDefault="00586B9B" w:rsidP="00586B9B">
      <w:pPr>
        <w:pStyle w:val="ListParagraph"/>
        <w:numPr>
          <w:ilvl w:val="0"/>
          <w:numId w:val="15"/>
        </w:numPr>
        <w:spacing w:after="0" w:line="240" w:lineRule="auto"/>
        <w:jc w:val="both"/>
        <w:rPr>
          <w:rFonts w:eastAsia="Times New Roman" w:cs="Arial"/>
          <w:lang w:eastAsia="en-PH"/>
        </w:rPr>
      </w:pPr>
      <w:r>
        <w:rPr>
          <w:rFonts w:eastAsia="Times New Roman" w:cs="Arial"/>
          <w:lang w:eastAsia="en-PH"/>
        </w:rPr>
        <w:t xml:space="preserve">SVP Mendoza added that perhaps there was a need to sit down with DepEd to really pin down the problem.  Other than their PBB Focal Persons, the officials in other DepEd regions and units should also be invited so that the TWG can isolate which DepEd units are not yet compliant.  </w:t>
      </w:r>
    </w:p>
    <w:p w:rsidR="00586B9B" w:rsidRDefault="00586B9B" w:rsidP="00586B9B">
      <w:pPr>
        <w:pStyle w:val="ListParagraph"/>
        <w:spacing w:after="0" w:line="240" w:lineRule="auto"/>
        <w:jc w:val="both"/>
        <w:rPr>
          <w:rFonts w:eastAsia="Times New Roman" w:cs="Arial"/>
          <w:lang w:eastAsia="en-PH"/>
        </w:rPr>
      </w:pPr>
      <w:r>
        <w:rPr>
          <w:rFonts w:eastAsia="Times New Roman" w:cs="Arial"/>
          <w:lang w:eastAsia="en-PH"/>
        </w:rPr>
        <w:t xml:space="preserve"> </w:t>
      </w:r>
    </w:p>
    <w:p w:rsidR="00586B9B" w:rsidRPr="00586B9B" w:rsidRDefault="00586B9B" w:rsidP="00586B9B">
      <w:pPr>
        <w:pStyle w:val="ListParagraph"/>
        <w:numPr>
          <w:ilvl w:val="0"/>
          <w:numId w:val="15"/>
        </w:numPr>
        <w:spacing w:after="0" w:line="240" w:lineRule="auto"/>
        <w:jc w:val="both"/>
        <w:rPr>
          <w:rFonts w:eastAsia="Times New Roman" w:cs="Arial"/>
          <w:lang w:eastAsia="en-PH"/>
        </w:rPr>
      </w:pPr>
      <w:r>
        <w:rPr>
          <w:rFonts w:eastAsia="Times New Roman" w:cs="Arial"/>
          <w:lang w:eastAsia="en-PH"/>
        </w:rPr>
        <w:t xml:space="preserve">Usec. Moya then pointed out that perhaps DepEd might require a different system altogether.  He asked the body if this should be considered for discussion or should </w:t>
      </w:r>
      <w:r w:rsidR="00B26769">
        <w:rPr>
          <w:rFonts w:eastAsia="Times New Roman" w:cs="Arial"/>
          <w:lang w:eastAsia="en-PH"/>
        </w:rPr>
        <w:t>this</w:t>
      </w:r>
      <w:r>
        <w:rPr>
          <w:rFonts w:eastAsia="Times New Roman" w:cs="Arial"/>
          <w:lang w:eastAsia="en-PH"/>
        </w:rPr>
        <w:t xml:space="preserve"> be tackled during the next</w:t>
      </w:r>
      <w:r w:rsidR="00075AAF">
        <w:rPr>
          <w:rFonts w:eastAsia="Times New Roman" w:cs="Arial"/>
          <w:lang w:eastAsia="en-PH"/>
        </w:rPr>
        <w:t xml:space="preserve"> PBB</w:t>
      </w:r>
      <w:r>
        <w:rPr>
          <w:rFonts w:eastAsia="Times New Roman" w:cs="Arial"/>
          <w:lang w:eastAsia="en-PH"/>
        </w:rPr>
        <w:t xml:space="preserve"> cycle</w:t>
      </w:r>
      <w:r w:rsidR="00075AAF">
        <w:rPr>
          <w:rFonts w:eastAsia="Times New Roman" w:cs="Arial"/>
          <w:lang w:eastAsia="en-PH"/>
        </w:rPr>
        <w:t>.  If so,</w:t>
      </w:r>
      <w:r>
        <w:rPr>
          <w:rFonts w:eastAsia="Times New Roman" w:cs="Arial"/>
          <w:lang w:eastAsia="en-PH"/>
        </w:rPr>
        <w:t xml:space="preserve"> then the TWG just</w:t>
      </w:r>
      <w:r w:rsidR="00075AAF">
        <w:rPr>
          <w:rFonts w:eastAsia="Times New Roman" w:cs="Arial"/>
          <w:lang w:eastAsia="en-PH"/>
        </w:rPr>
        <w:t xml:space="preserve"> needed to</w:t>
      </w:r>
      <w:r>
        <w:rPr>
          <w:rFonts w:eastAsia="Times New Roman" w:cs="Arial"/>
          <w:lang w:eastAsia="en-PH"/>
        </w:rPr>
        <w:t xml:space="preserve"> agree to extend the deadline for DepEd and just treat them on a per-region basis.   </w:t>
      </w:r>
      <w:r w:rsidR="0030166E">
        <w:rPr>
          <w:rFonts w:eastAsia="Times New Roman" w:cs="Arial"/>
          <w:lang w:eastAsia="en-PH"/>
        </w:rPr>
        <w:t xml:space="preserve">Usec. Moya asked SVP Mendoza if the conflict in the timeline of DepEd was already considered in the new Guidelines. </w:t>
      </w:r>
    </w:p>
    <w:p w:rsidR="00C27981" w:rsidRDefault="00C27981" w:rsidP="00C27981">
      <w:pPr>
        <w:pStyle w:val="ListParagraph"/>
        <w:spacing w:after="0" w:line="240" w:lineRule="auto"/>
        <w:jc w:val="both"/>
        <w:rPr>
          <w:rFonts w:eastAsia="Times New Roman" w:cs="Arial"/>
          <w:lang w:eastAsia="en-PH"/>
        </w:rPr>
      </w:pPr>
    </w:p>
    <w:p w:rsidR="0030166E" w:rsidRPr="00B26769" w:rsidRDefault="00BC4704" w:rsidP="008D0A27">
      <w:pPr>
        <w:pStyle w:val="ListParagraph"/>
        <w:numPr>
          <w:ilvl w:val="0"/>
          <w:numId w:val="15"/>
        </w:numPr>
        <w:spacing w:after="0" w:line="240" w:lineRule="auto"/>
        <w:jc w:val="both"/>
        <w:rPr>
          <w:rFonts w:eastAsia="Times New Roman" w:cs="Arial"/>
          <w:lang w:eastAsia="en-PH"/>
        </w:rPr>
      </w:pPr>
      <w:r w:rsidRPr="00B26769">
        <w:rPr>
          <w:rFonts w:eastAsia="Times New Roman" w:cs="Arial"/>
          <w:lang w:eastAsia="en-PH"/>
        </w:rPr>
        <w:t>SVP Mendoza</w:t>
      </w:r>
      <w:r w:rsidR="0030166E" w:rsidRPr="00B26769">
        <w:rPr>
          <w:rFonts w:eastAsia="Times New Roman" w:cs="Arial"/>
          <w:lang w:eastAsia="en-PH"/>
        </w:rPr>
        <w:t xml:space="preserve"> reiterated that with regard to</w:t>
      </w:r>
      <w:r w:rsidR="00B26769" w:rsidRPr="00B26769">
        <w:rPr>
          <w:rFonts w:eastAsia="Times New Roman" w:cs="Arial"/>
          <w:lang w:eastAsia="en-PH"/>
        </w:rPr>
        <w:t xml:space="preserve"> FY 2014</w:t>
      </w:r>
      <w:r w:rsidR="0030166E" w:rsidRPr="00B26769">
        <w:rPr>
          <w:rFonts w:eastAsia="Times New Roman" w:cs="Arial"/>
          <w:lang w:eastAsia="en-PH"/>
        </w:rPr>
        <w:t xml:space="preserve"> PBB the timeline of DepEd was already considered.  DepEd’s accomplishment report was scheduled to be submitted on April 2014.  However, for the good governance conditions, DepEd needed to follow the schedule imposed on other agencies.  However, in DepEd’s case, they tend to observe the April deadline even for the good governance conditions. </w:t>
      </w:r>
    </w:p>
    <w:p w:rsidR="0030166E" w:rsidRPr="00B26769" w:rsidRDefault="0030166E" w:rsidP="0030166E">
      <w:pPr>
        <w:pStyle w:val="ListParagraph"/>
        <w:rPr>
          <w:rFonts w:eastAsia="Times New Roman" w:cs="Arial"/>
          <w:lang w:eastAsia="en-PH"/>
        </w:rPr>
      </w:pPr>
    </w:p>
    <w:p w:rsidR="0030166E" w:rsidRPr="00B26769" w:rsidRDefault="0030166E" w:rsidP="0030166E">
      <w:pPr>
        <w:pStyle w:val="ListParagraph"/>
        <w:numPr>
          <w:ilvl w:val="0"/>
          <w:numId w:val="15"/>
        </w:numPr>
        <w:spacing w:after="0" w:line="240" w:lineRule="auto"/>
        <w:jc w:val="both"/>
        <w:rPr>
          <w:rFonts w:eastAsia="Times New Roman" w:cs="Arial"/>
          <w:lang w:eastAsia="en-PH"/>
        </w:rPr>
      </w:pPr>
      <w:r w:rsidRPr="00B26769">
        <w:rPr>
          <w:rFonts w:eastAsia="Times New Roman" w:cs="Arial"/>
          <w:lang w:eastAsia="en-PH"/>
        </w:rPr>
        <w:t xml:space="preserve">In </w:t>
      </w:r>
      <w:r w:rsidR="00B26769">
        <w:rPr>
          <w:rFonts w:eastAsia="Times New Roman" w:cs="Arial"/>
          <w:lang w:eastAsia="en-PH"/>
        </w:rPr>
        <w:t>connection</w:t>
      </w:r>
      <w:r w:rsidRPr="00B26769">
        <w:rPr>
          <w:rFonts w:eastAsia="Times New Roman" w:cs="Arial"/>
          <w:lang w:eastAsia="en-PH"/>
        </w:rPr>
        <w:t xml:space="preserve"> with suggestion of Dir. Kimpo, Usec. Moya asked if it would be practical to assess DepEd on a per region basis.  He also asked what was still being aggregated that delayed the final assessment of DepEd.  </w:t>
      </w:r>
    </w:p>
    <w:p w:rsidR="0030166E" w:rsidRPr="00B26769" w:rsidRDefault="0030166E" w:rsidP="0030166E">
      <w:pPr>
        <w:pStyle w:val="ListParagraph"/>
        <w:rPr>
          <w:rFonts w:eastAsia="Times New Roman" w:cs="Arial"/>
          <w:lang w:eastAsia="en-PH"/>
        </w:rPr>
      </w:pPr>
    </w:p>
    <w:p w:rsidR="00B26769" w:rsidRDefault="00075AAF" w:rsidP="0030166E">
      <w:pPr>
        <w:pStyle w:val="ListParagraph"/>
        <w:numPr>
          <w:ilvl w:val="0"/>
          <w:numId w:val="15"/>
        </w:numPr>
        <w:spacing w:after="0" w:line="240" w:lineRule="auto"/>
        <w:jc w:val="both"/>
        <w:rPr>
          <w:rFonts w:eastAsia="Times New Roman" w:cs="Arial"/>
          <w:lang w:eastAsia="en-PH"/>
        </w:rPr>
      </w:pPr>
      <w:r w:rsidRPr="00B26769">
        <w:rPr>
          <w:rFonts w:eastAsia="Times New Roman" w:cs="Arial"/>
          <w:lang w:eastAsia="en-PH"/>
        </w:rPr>
        <w:t>SVP Mendoza</w:t>
      </w:r>
      <w:r w:rsidR="0030166E" w:rsidRPr="00B26769">
        <w:rPr>
          <w:rFonts w:eastAsia="Times New Roman" w:cs="Arial"/>
          <w:lang w:eastAsia="en-PH"/>
        </w:rPr>
        <w:t xml:space="preserve"> replied that </w:t>
      </w:r>
      <w:r w:rsidR="00BC4704" w:rsidRPr="00B26769">
        <w:rPr>
          <w:rFonts w:eastAsia="Times New Roman" w:cs="Arial"/>
          <w:lang w:eastAsia="en-PH"/>
        </w:rPr>
        <w:t xml:space="preserve">the validation of DepEd </w:t>
      </w:r>
      <w:r w:rsidRPr="00B26769">
        <w:rPr>
          <w:rFonts w:eastAsia="Times New Roman" w:cs="Arial"/>
          <w:lang w:eastAsia="en-PH"/>
        </w:rPr>
        <w:t>is actually</w:t>
      </w:r>
      <w:r w:rsidR="00BC4704" w:rsidRPr="00B26769">
        <w:rPr>
          <w:rFonts w:eastAsia="Times New Roman" w:cs="Arial"/>
          <w:lang w:eastAsia="en-PH"/>
        </w:rPr>
        <w:t xml:space="preserve"> </w:t>
      </w:r>
      <w:r w:rsidR="00B26769" w:rsidRPr="00B26769">
        <w:rPr>
          <w:rFonts w:eastAsia="Times New Roman" w:cs="Arial"/>
          <w:lang w:eastAsia="en-PH"/>
        </w:rPr>
        <w:t xml:space="preserve">on a </w:t>
      </w:r>
      <w:r w:rsidR="00BC4704" w:rsidRPr="00B26769">
        <w:rPr>
          <w:rFonts w:eastAsia="Times New Roman" w:cs="Arial"/>
          <w:lang w:eastAsia="en-PH"/>
        </w:rPr>
        <w:t>per region</w:t>
      </w:r>
      <w:r w:rsidRPr="00B26769">
        <w:rPr>
          <w:rFonts w:eastAsia="Times New Roman" w:cs="Arial"/>
          <w:lang w:eastAsia="en-PH"/>
        </w:rPr>
        <w:t xml:space="preserve"> and division</w:t>
      </w:r>
      <w:r w:rsidR="00BC4704" w:rsidRPr="00B26769">
        <w:rPr>
          <w:rFonts w:eastAsia="Times New Roman" w:cs="Arial"/>
          <w:lang w:eastAsia="en-PH"/>
        </w:rPr>
        <w:t xml:space="preserve"> bas</w:t>
      </w:r>
      <w:r w:rsidR="00B26769" w:rsidRPr="00B26769">
        <w:rPr>
          <w:rFonts w:eastAsia="Times New Roman" w:cs="Arial"/>
          <w:lang w:eastAsia="en-PH"/>
        </w:rPr>
        <w:t>e</w:t>
      </w:r>
      <w:r w:rsidR="00BC4704" w:rsidRPr="00B26769">
        <w:rPr>
          <w:rFonts w:eastAsia="Times New Roman" w:cs="Arial"/>
          <w:lang w:eastAsia="en-PH"/>
        </w:rPr>
        <w:t xml:space="preserve">s.  However, </w:t>
      </w:r>
      <w:r w:rsidR="00B26769">
        <w:rPr>
          <w:rFonts w:eastAsia="Times New Roman" w:cs="Arial"/>
          <w:lang w:eastAsia="en-PH"/>
        </w:rPr>
        <w:t>as already mentioned, the overall eligibility of the whole DepEd must first be determined</w:t>
      </w:r>
      <w:r w:rsidR="0036426D">
        <w:rPr>
          <w:rFonts w:eastAsia="Times New Roman" w:cs="Arial"/>
          <w:lang w:eastAsia="en-PH"/>
        </w:rPr>
        <w:t xml:space="preserve"> before the Divisions and Schools can be ranked.  In any case</w:t>
      </w:r>
      <w:r w:rsidR="00C922C8">
        <w:rPr>
          <w:rFonts w:eastAsia="Times New Roman" w:cs="Arial"/>
          <w:lang w:eastAsia="en-PH"/>
        </w:rPr>
        <w:t xml:space="preserve">, as in the past, it was already assumed that all schools would be </w:t>
      </w:r>
      <w:r w:rsidR="00CA2167">
        <w:rPr>
          <w:rFonts w:eastAsia="Times New Roman" w:cs="Arial"/>
          <w:lang w:eastAsia="en-PH"/>
        </w:rPr>
        <w:t xml:space="preserve">eligible. </w:t>
      </w:r>
    </w:p>
    <w:p w:rsidR="00B26769" w:rsidRPr="00B26769" w:rsidRDefault="00B26769" w:rsidP="00B26769">
      <w:pPr>
        <w:pStyle w:val="ListParagraph"/>
        <w:rPr>
          <w:rFonts w:eastAsia="Times New Roman" w:cs="Arial"/>
          <w:lang w:eastAsia="en-PH"/>
        </w:rPr>
      </w:pPr>
    </w:p>
    <w:p w:rsidR="00340066" w:rsidRDefault="00340066" w:rsidP="008D0A27">
      <w:pPr>
        <w:pStyle w:val="ListParagraph"/>
        <w:numPr>
          <w:ilvl w:val="0"/>
          <w:numId w:val="15"/>
        </w:numPr>
        <w:spacing w:after="0" w:line="240" w:lineRule="auto"/>
        <w:jc w:val="both"/>
        <w:rPr>
          <w:rFonts w:eastAsia="Times New Roman" w:cs="Arial"/>
          <w:lang w:eastAsia="en-PH"/>
        </w:rPr>
      </w:pPr>
      <w:r>
        <w:rPr>
          <w:rFonts w:eastAsia="Times New Roman" w:cs="Arial"/>
          <w:lang w:eastAsia="en-PH"/>
        </w:rPr>
        <w:t xml:space="preserve">Asec. Nuque suggested that since it </w:t>
      </w:r>
      <w:r w:rsidR="00CA2167">
        <w:rPr>
          <w:rFonts w:eastAsia="Times New Roman" w:cs="Arial"/>
          <w:lang w:eastAsia="en-PH"/>
        </w:rPr>
        <w:t>was</w:t>
      </w:r>
      <w:r>
        <w:rPr>
          <w:rFonts w:eastAsia="Times New Roman" w:cs="Arial"/>
          <w:lang w:eastAsia="en-PH"/>
        </w:rPr>
        <w:t xml:space="preserve"> assumed that DepEd will qualify, while waiting for the rating and ranking report, perhaps a 5000-peso across the board bonus may already be advanced to DepEd.  Then </w:t>
      </w:r>
      <w:r w:rsidR="00184E75">
        <w:rPr>
          <w:rFonts w:eastAsia="Times New Roman" w:cs="Arial"/>
          <w:lang w:eastAsia="en-PH"/>
        </w:rPr>
        <w:t xml:space="preserve">the remaining bonus will just be granted to DepEd as top up.  </w:t>
      </w:r>
    </w:p>
    <w:p w:rsidR="00184E75" w:rsidRPr="00184E75" w:rsidRDefault="00184E75" w:rsidP="00184E75">
      <w:pPr>
        <w:pStyle w:val="ListParagraph"/>
        <w:rPr>
          <w:rFonts w:eastAsia="Times New Roman" w:cs="Arial"/>
          <w:lang w:eastAsia="en-PH"/>
        </w:rPr>
      </w:pPr>
    </w:p>
    <w:p w:rsidR="00184E75" w:rsidRDefault="00184E75" w:rsidP="008D0A27">
      <w:pPr>
        <w:pStyle w:val="ListParagraph"/>
        <w:numPr>
          <w:ilvl w:val="0"/>
          <w:numId w:val="15"/>
        </w:numPr>
        <w:spacing w:after="0" w:line="240" w:lineRule="auto"/>
        <w:jc w:val="both"/>
        <w:rPr>
          <w:rFonts w:eastAsia="Times New Roman" w:cs="Arial"/>
          <w:lang w:eastAsia="en-PH"/>
        </w:rPr>
      </w:pPr>
      <w:r w:rsidRPr="00184E75">
        <w:rPr>
          <w:rFonts w:eastAsia="Times New Roman" w:cs="Arial"/>
          <w:lang w:eastAsia="en-PH"/>
        </w:rPr>
        <w:t xml:space="preserve">Usec. Moya supported the suggestion of Asec. Nuque. </w:t>
      </w:r>
      <w:r>
        <w:rPr>
          <w:rFonts w:eastAsia="Times New Roman" w:cs="Arial"/>
          <w:lang w:eastAsia="en-PH"/>
        </w:rPr>
        <w:t xml:space="preserve"> He</w:t>
      </w:r>
      <w:r w:rsidRPr="00C41DDD">
        <w:rPr>
          <w:rFonts w:eastAsia="Times New Roman" w:cs="Arial"/>
          <w:lang w:eastAsia="en-PH"/>
        </w:rPr>
        <w:t xml:space="preserve"> recommended  to draft a resolution wherein it is stated that the task force is allowing the already compliant DepEd units and give them the minimum Php5, 000.00 (five thousand pesos) in addition internally, to allow the </w:t>
      </w:r>
      <w:r w:rsidRPr="00C41DDD">
        <w:rPr>
          <w:rFonts w:eastAsia="Times New Roman" w:cs="Arial"/>
          <w:i/>
          <w:lang w:eastAsia="en-PH"/>
        </w:rPr>
        <w:t>remaining</w:t>
      </w:r>
      <w:r w:rsidRPr="00C41DDD">
        <w:rPr>
          <w:rFonts w:eastAsia="Times New Roman" w:cs="Arial"/>
          <w:lang w:eastAsia="en-PH"/>
        </w:rPr>
        <w:t xml:space="preserve"> </w:t>
      </w:r>
      <w:r w:rsidRPr="00C41DDD">
        <w:rPr>
          <w:rFonts w:eastAsia="Times New Roman" w:cs="Arial"/>
          <w:i/>
          <w:lang w:eastAsia="en-PH"/>
        </w:rPr>
        <w:t>17 units</w:t>
      </w:r>
      <w:r w:rsidRPr="00C41DDD">
        <w:rPr>
          <w:rFonts w:eastAsia="Times New Roman" w:cs="Arial"/>
          <w:lang w:eastAsia="en-PH"/>
        </w:rPr>
        <w:t xml:space="preserve"> to still submit their requirements. The extension of addressing the issue on PHILGEPS posting would only be until the end of August and the first draft is expected to be done by September 5 concurrent to the Teacher’s Day.</w:t>
      </w:r>
    </w:p>
    <w:p w:rsidR="00184E75" w:rsidRDefault="00184E75" w:rsidP="00184E75">
      <w:pPr>
        <w:pStyle w:val="ListParagraph"/>
        <w:spacing w:after="0" w:line="240" w:lineRule="auto"/>
        <w:jc w:val="both"/>
        <w:rPr>
          <w:rFonts w:eastAsia="Times New Roman" w:cs="Arial"/>
          <w:lang w:eastAsia="en-PH"/>
        </w:rPr>
      </w:pPr>
    </w:p>
    <w:p w:rsidR="00340066" w:rsidRDefault="00CA2167" w:rsidP="008D0A27">
      <w:pPr>
        <w:pStyle w:val="ListParagraph"/>
        <w:numPr>
          <w:ilvl w:val="0"/>
          <w:numId w:val="15"/>
        </w:numPr>
        <w:spacing w:after="0" w:line="240" w:lineRule="auto"/>
        <w:jc w:val="both"/>
        <w:rPr>
          <w:rFonts w:eastAsia="Times New Roman" w:cs="Arial"/>
          <w:lang w:eastAsia="en-PH"/>
        </w:rPr>
      </w:pPr>
      <w:r>
        <w:rPr>
          <w:rFonts w:eastAsia="Times New Roman" w:cs="Arial"/>
          <w:lang w:eastAsia="en-PH"/>
        </w:rPr>
        <w:t xml:space="preserve">Commissioner Nieves Osorio suggested that the TWG secure first the approval of the IATF Principals before the 5,000-peso across the board bonus is advanced to DepEd.  </w:t>
      </w:r>
      <w:r w:rsidR="00340066">
        <w:rPr>
          <w:rFonts w:eastAsia="Times New Roman" w:cs="Arial"/>
          <w:lang w:eastAsia="en-PH"/>
        </w:rPr>
        <w:t xml:space="preserve">  </w:t>
      </w:r>
    </w:p>
    <w:p w:rsidR="00340066" w:rsidRDefault="00340066" w:rsidP="00184E75">
      <w:pPr>
        <w:pStyle w:val="ListParagraph"/>
        <w:spacing w:after="0"/>
        <w:contextualSpacing w:val="0"/>
        <w:rPr>
          <w:rFonts w:eastAsia="Times New Roman" w:cs="Arial"/>
          <w:lang w:eastAsia="en-PH"/>
        </w:rPr>
      </w:pPr>
    </w:p>
    <w:p w:rsidR="00D7226A" w:rsidRPr="008B53BE" w:rsidRDefault="00D7226A" w:rsidP="008B53BE">
      <w:pPr>
        <w:spacing w:after="0"/>
        <w:rPr>
          <w:rFonts w:eastAsia="Times New Roman" w:cs="Arial"/>
          <w:lang w:eastAsia="en-PH"/>
        </w:rPr>
      </w:pPr>
    </w:p>
    <w:p w:rsidR="00184E75" w:rsidRPr="00C41DDD" w:rsidRDefault="00184E75" w:rsidP="00D7226A">
      <w:pPr>
        <w:spacing w:after="0" w:line="240" w:lineRule="auto"/>
        <w:ind w:left="360"/>
        <w:jc w:val="both"/>
        <w:rPr>
          <w:rFonts w:eastAsia="Times New Roman" w:cs="Arial"/>
          <w:b/>
          <w:lang w:eastAsia="en-PH"/>
        </w:rPr>
      </w:pPr>
      <w:r w:rsidRPr="00C41DDD">
        <w:rPr>
          <w:rFonts w:eastAsia="Times New Roman" w:cs="Arial"/>
          <w:b/>
          <w:lang w:eastAsia="en-PH"/>
        </w:rPr>
        <w:lastRenderedPageBreak/>
        <w:t xml:space="preserve">AGREEMENTS: </w:t>
      </w:r>
    </w:p>
    <w:p w:rsidR="00184E75" w:rsidRPr="00D7226A" w:rsidRDefault="00184E75" w:rsidP="008D0A27">
      <w:pPr>
        <w:pStyle w:val="ListParagraph"/>
        <w:numPr>
          <w:ilvl w:val="0"/>
          <w:numId w:val="15"/>
        </w:numPr>
        <w:spacing w:after="0" w:line="240" w:lineRule="auto"/>
        <w:jc w:val="both"/>
        <w:rPr>
          <w:rFonts w:eastAsia="Times New Roman" w:cs="Arial"/>
          <w:lang w:val="en-US" w:eastAsia="en-PH"/>
        </w:rPr>
      </w:pPr>
      <w:r w:rsidRPr="00D7226A">
        <w:rPr>
          <w:rFonts w:eastAsia="Times New Roman" w:cs="Arial"/>
          <w:lang w:val="en-US" w:eastAsia="en-PH"/>
        </w:rPr>
        <w:t>Draft recommendation to the IATF allowing the grant of 5,000 Php to DepEd employees.  The top-up (remaining amount of the PBB) to be granted later once DepEd submitted its rating and ranking report (Form 1.0).</w:t>
      </w:r>
    </w:p>
    <w:p w:rsidR="00184E75" w:rsidRPr="00D7226A" w:rsidRDefault="00184E75" w:rsidP="00184E75">
      <w:pPr>
        <w:pStyle w:val="ListParagraph"/>
        <w:spacing w:after="0" w:line="240" w:lineRule="auto"/>
        <w:jc w:val="both"/>
        <w:rPr>
          <w:rFonts w:eastAsia="Times New Roman" w:cs="Arial"/>
          <w:lang w:val="en-US" w:eastAsia="en-PH"/>
        </w:rPr>
      </w:pPr>
      <w:r w:rsidRPr="00D7226A">
        <w:rPr>
          <w:rFonts w:eastAsia="Times New Roman" w:cs="Arial"/>
          <w:lang w:val="en-US" w:eastAsia="en-PH"/>
        </w:rPr>
        <w:t xml:space="preserve"> </w:t>
      </w:r>
    </w:p>
    <w:p w:rsidR="00184E75" w:rsidRPr="00D7226A" w:rsidRDefault="00184E75" w:rsidP="008D0A27">
      <w:pPr>
        <w:pStyle w:val="ListParagraph"/>
        <w:numPr>
          <w:ilvl w:val="0"/>
          <w:numId w:val="15"/>
        </w:numPr>
        <w:spacing w:after="0" w:line="240" w:lineRule="auto"/>
        <w:jc w:val="both"/>
        <w:rPr>
          <w:rFonts w:eastAsia="Times New Roman" w:cs="Arial"/>
          <w:lang w:val="en-US" w:eastAsia="en-PH"/>
        </w:rPr>
      </w:pPr>
      <w:r w:rsidRPr="00D7226A">
        <w:rPr>
          <w:rFonts w:eastAsia="Times New Roman" w:cs="Arial"/>
          <w:lang w:val="en-US" w:eastAsia="en-PH"/>
        </w:rPr>
        <w:t>Schedule a meeting with DepEd ManCom to discuss how DepEd can comply with the requirements of the PBB.  TWG members are invited but are not required to attend</w:t>
      </w:r>
    </w:p>
    <w:p w:rsidR="00184E75" w:rsidRPr="00D7226A" w:rsidRDefault="00184E75" w:rsidP="00184E75">
      <w:pPr>
        <w:pStyle w:val="ListParagraph"/>
        <w:rPr>
          <w:rFonts w:eastAsia="Times New Roman" w:cs="Arial"/>
          <w:lang w:val="en-US" w:eastAsia="en-PH"/>
        </w:rPr>
      </w:pPr>
    </w:p>
    <w:p w:rsidR="00184E75" w:rsidRPr="00D7226A" w:rsidRDefault="00184E75" w:rsidP="008D0A27">
      <w:pPr>
        <w:pStyle w:val="ListParagraph"/>
        <w:numPr>
          <w:ilvl w:val="0"/>
          <w:numId w:val="15"/>
        </w:numPr>
        <w:spacing w:after="0" w:line="240" w:lineRule="auto"/>
        <w:jc w:val="both"/>
        <w:rPr>
          <w:rFonts w:eastAsia="Times New Roman" w:cs="Arial"/>
          <w:lang w:val="en-US" w:eastAsia="en-PH"/>
        </w:rPr>
      </w:pPr>
      <w:r w:rsidRPr="00D7226A">
        <w:rPr>
          <w:rFonts w:eastAsia="Times New Roman" w:cs="Arial"/>
          <w:lang w:val="en-US" w:eastAsia="en-PH"/>
        </w:rPr>
        <w:t>Inform DepEd that it has</w:t>
      </w:r>
      <w:r w:rsidR="00D7226A" w:rsidRPr="00D7226A">
        <w:rPr>
          <w:rFonts w:eastAsia="Times New Roman" w:cs="Arial"/>
          <w:lang w:val="en-US" w:eastAsia="en-PH"/>
        </w:rPr>
        <w:t xml:space="preserve"> two weeks upon receipt of the letter to </w:t>
      </w:r>
      <w:r w:rsidRPr="00D7226A">
        <w:rPr>
          <w:rFonts w:eastAsia="Times New Roman" w:cs="Arial"/>
          <w:lang w:val="en-US" w:eastAsia="en-PH"/>
        </w:rPr>
        <w:t>comply with the requirements</w:t>
      </w:r>
    </w:p>
    <w:p w:rsidR="00D7226A" w:rsidRPr="00D7226A" w:rsidRDefault="00D7226A" w:rsidP="00D7226A">
      <w:pPr>
        <w:pStyle w:val="ListParagraph"/>
        <w:spacing w:after="0"/>
        <w:contextualSpacing w:val="0"/>
        <w:rPr>
          <w:rFonts w:eastAsia="Times New Roman" w:cs="Arial"/>
          <w:b/>
          <w:i/>
          <w:color w:val="FF0000"/>
          <w:lang w:val="en-US" w:eastAsia="en-PH"/>
        </w:rPr>
      </w:pPr>
    </w:p>
    <w:p w:rsidR="00BF0DB2" w:rsidRDefault="00BF0DB2" w:rsidP="00BF0DB2">
      <w:pPr>
        <w:spacing w:after="0" w:line="240" w:lineRule="auto"/>
        <w:ind w:left="720" w:hanging="360"/>
        <w:jc w:val="both"/>
        <w:rPr>
          <w:rFonts w:eastAsia="Times New Roman" w:cs="Arial"/>
          <w:b/>
          <w:lang w:eastAsia="en-PH"/>
        </w:rPr>
      </w:pPr>
      <w:r>
        <w:rPr>
          <w:rFonts w:eastAsia="Times New Roman" w:cs="Arial"/>
          <w:b/>
          <w:lang w:eastAsia="en-PH"/>
        </w:rPr>
        <w:t xml:space="preserve">3.5 </w:t>
      </w:r>
      <w:r w:rsidRPr="00BF0DB2">
        <w:rPr>
          <w:rFonts w:eastAsia="Times New Roman" w:cs="Arial"/>
          <w:b/>
          <w:lang w:eastAsia="en-PH"/>
        </w:rPr>
        <w:t>CONDUCT OF APCPI ORIENTATION</w:t>
      </w:r>
    </w:p>
    <w:p w:rsidR="00184E75" w:rsidRDefault="00D7226A" w:rsidP="008D0A27">
      <w:pPr>
        <w:pStyle w:val="ListParagraph"/>
        <w:numPr>
          <w:ilvl w:val="0"/>
          <w:numId w:val="7"/>
        </w:numPr>
        <w:spacing w:after="0" w:line="240" w:lineRule="auto"/>
        <w:jc w:val="both"/>
      </w:pPr>
      <w:r>
        <w:t>Ms. Ablan reported that t</w:t>
      </w:r>
      <w:r w:rsidR="00184E75">
        <w:t>he AO25</w:t>
      </w:r>
      <w:r w:rsidR="00184E75" w:rsidRPr="00C41DDD">
        <w:t xml:space="preserve"> Secretariat </w:t>
      </w:r>
      <w:r w:rsidR="008310D3">
        <w:t xml:space="preserve">organized and </w:t>
      </w:r>
      <w:r w:rsidR="00184E75" w:rsidRPr="00C41DDD">
        <w:t>conducted the APCPI Orientation with the GPPB last July 15</w:t>
      </w:r>
      <w:r w:rsidR="00184E75">
        <w:t xml:space="preserve">.  29 </w:t>
      </w:r>
      <w:r w:rsidR="00184E75" w:rsidRPr="00C41DDD">
        <w:t xml:space="preserve">TWG members from 12 </w:t>
      </w:r>
      <w:r w:rsidR="00184E75">
        <w:t>member-</w:t>
      </w:r>
      <w:r w:rsidR="00184E75" w:rsidRPr="00C41DDD">
        <w:t xml:space="preserve">agencies attended. </w:t>
      </w:r>
    </w:p>
    <w:p w:rsidR="00184E75" w:rsidRDefault="00184E75" w:rsidP="00BF0DB2">
      <w:pPr>
        <w:spacing w:after="0" w:line="240" w:lineRule="auto"/>
        <w:ind w:left="720" w:hanging="360"/>
        <w:jc w:val="both"/>
        <w:rPr>
          <w:rFonts w:eastAsia="Times New Roman" w:cs="Arial"/>
          <w:b/>
          <w:lang w:eastAsia="en-PH"/>
        </w:rPr>
      </w:pPr>
    </w:p>
    <w:p w:rsidR="00BF0DB2" w:rsidRDefault="00BF0DB2" w:rsidP="00BF0DB2">
      <w:pPr>
        <w:spacing w:after="0" w:line="240" w:lineRule="auto"/>
        <w:ind w:left="720" w:hanging="360"/>
        <w:jc w:val="both"/>
        <w:rPr>
          <w:rFonts w:eastAsia="Times New Roman" w:cs="Arial"/>
          <w:b/>
          <w:lang w:eastAsia="en-PH"/>
        </w:rPr>
      </w:pPr>
      <w:r>
        <w:rPr>
          <w:rFonts w:eastAsia="Times New Roman" w:cs="Arial"/>
          <w:b/>
          <w:lang w:eastAsia="en-PH"/>
        </w:rPr>
        <w:t xml:space="preserve">3.6 </w:t>
      </w:r>
      <w:r w:rsidRPr="00BF0DB2">
        <w:rPr>
          <w:rFonts w:eastAsia="Times New Roman" w:cs="Arial"/>
          <w:b/>
          <w:lang w:eastAsia="en-PH"/>
        </w:rPr>
        <w:t>PROPOSAL ENSURING THE QUALITY OF VALIDATION/ASSESSMENT FOR FY 2015 PBB COMPLIANCE</w:t>
      </w:r>
    </w:p>
    <w:p w:rsidR="00184E75" w:rsidRPr="00184E75" w:rsidRDefault="00184E75" w:rsidP="008D0A27">
      <w:pPr>
        <w:pStyle w:val="ListParagraph"/>
        <w:numPr>
          <w:ilvl w:val="0"/>
          <w:numId w:val="24"/>
        </w:numPr>
        <w:spacing w:after="0" w:line="240" w:lineRule="auto"/>
        <w:ind w:left="720"/>
        <w:jc w:val="both"/>
        <w:rPr>
          <w:rFonts w:eastAsia="Times New Roman" w:cs="Arial"/>
          <w:lang w:val="en-US" w:eastAsia="en-PH"/>
        </w:rPr>
      </w:pPr>
      <w:r w:rsidRPr="00184E75">
        <w:rPr>
          <w:rFonts w:eastAsia="Times New Roman" w:cs="Arial"/>
          <w:lang w:val="en-US" w:eastAsia="en-PH"/>
        </w:rPr>
        <w:t>Part of the main agenda.</w:t>
      </w:r>
    </w:p>
    <w:p w:rsidR="00607C1A" w:rsidRDefault="00607C1A" w:rsidP="00607C1A">
      <w:pPr>
        <w:pStyle w:val="ListParagraph"/>
        <w:spacing w:after="0" w:line="240" w:lineRule="auto"/>
        <w:jc w:val="both"/>
        <w:rPr>
          <w:rFonts w:eastAsia="Times New Roman" w:cs="Arial"/>
          <w:b/>
          <w:i/>
          <w:lang w:val="en-US" w:eastAsia="en-PH"/>
        </w:rPr>
      </w:pPr>
    </w:p>
    <w:p w:rsidR="00957230" w:rsidRPr="00090C39" w:rsidRDefault="00090C39" w:rsidP="00090C39">
      <w:pPr>
        <w:spacing w:after="0" w:line="240" w:lineRule="auto"/>
        <w:jc w:val="both"/>
        <w:rPr>
          <w:rFonts w:eastAsia="Times New Roman" w:cs="Arial"/>
          <w:b/>
          <w:lang w:eastAsia="en-PH"/>
        </w:rPr>
      </w:pPr>
      <w:r>
        <w:rPr>
          <w:rFonts w:eastAsia="Times New Roman" w:cs="Arial"/>
          <w:b/>
          <w:lang w:eastAsia="en-PH"/>
        </w:rPr>
        <w:t xml:space="preserve">4. </w:t>
      </w:r>
      <w:r w:rsidR="00E71D81" w:rsidRPr="00090C39">
        <w:rPr>
          <w:rFonts w:eastAsia="Times New Roman" w:cs="Arial"/>
          <w:b/>
          <w:lang w:eastAsia="en-PH"/>
        </w:rPr>
        <w:t>BUSINESS OF THE DAY</w:t>
      </w:r>
    </w:p>
    <w:p w:rsidR="00090C39" w:rsidRPr="00090C39" w:rsidRDefault="00090C39" w:rsidP="008044C4">
      <w:pPr>
        <w:spacing w:after="0" w:line="240" w:lineRule="auto"/>
        <w:jc w:val="both"/>
        <w:rPr>
          <w:rFonts w:eastAsia="Times New Roman" w:cs="Arial"/>
          <w:b/>
          <w:lang w:eastAsia="en-PH"/>
        </w:rPr>
      </w:pPr>
    </w:p>
    <w:p w:rsidR="005E5119" w:rsidRPr="00C41DDD" w:rsidRDefault="00E71D81" w:rsidP="00F955D4">
      <w:pPr>
        <w:spacing w:after="0" w:line="240" w:lineRule="auto"/>
        <w:jc w:val="both"/>
        <w:rPr>
          <w:rFonts w:eastAsia="Times New Roman" w:cs="Arial"/>
          <w:b/>
          <w:lang w:eastAsia="en-PH"/>
        </w:rPr>
      </w:pPr>
      <w:r>
        <w:rPr>
          <w:rFonts w:eastAsia="Times New Roman" w:cs="Arial"/>
          <w:b/>
          <w:lang w:eastAsia="en-PH"/>
        </w:rPr>
        <w:t xml:space="preserve">4.1 </w:t>
      </w:r>
      <w:r w:rsidR="00F955D4">
        <w:rPr>
          <w:rFonts w:eastAsia="Times New Roman" w:cs="Arial"/>
          <w:b/>
          <w:lang w:eastAsia="en-PH"/>
        </w:rPr>
        <w:t>STATUS OF RELEASE OF FY 2014</w:t>
      </w:r>
      <w:r w:rsidR="00F955D4" w:rsidRPr="00F955D4">
        <w:rPr>
          <w:rFonts w:eastAsia="Times New Roman" w:cs="Arial"/>
          <w:b/>
          <w:lang w:eastAsia="en-PH"/>
        </w:rPr>
        <w:t xml:space="preserve"> PBB</w:t>
      </w:r>
    </w:p>
    <w:p w:rsidR="00184E75" w:rsidRDefault="00184E75" w:rsidP="00184E75">
      <w:pPr>
        <w:pStyle w:val="ListParagraph"/>
        <w:numPr>
          <w:ilvl w:val="0"/>
          <w:numId w:val="9"/>
        </w:numPr>
        <w:spacing w:after="0" w:line="240" w:lineRule="auto"/>
        <w:jc w:val="both"/>
        <w:rPr>
          <w:lang w:val="en-US"/>
        </w:rPr>
      </w:pPr>
      <w:r w:rsidRPr="00CB06BB">
        <w:rPr>
          <w:lang w:val="en-US"/>
        </w:rPr>
        <w:t xml:space="preserve">As of 18 August 2015, out of the 160 agencies qualified for PBB, only 36 received their PBB. </w:t>
      </w:r>
    </w:p>
    <w:p w:rsidR="005335F0" w:rsidRPr="007933E2" w:rsidRDefault="005335F0" w:rsidP="007933E2">
      <w:pPr>
        <w:spacing w:after="0" w:line="240" w:lineRule="auto"/>
        <w:jc w:val="both"/>
        <w:rPr>
          <w:lang w:val="en-US"/>
        </w:rPr>
      </w:pPr>
    </w:p>
    <w:p w:rsidR="00184E75" w:rsidRDefault="006D5A30" w:rsidP="00AC7C59">
      <w:pPr>
        <w:pStyle w:val="ListParagraph"/>
        <w:numPr>
          <w:ilvl w:val="0"/>
          <w:numId w:val="9"/>
        </w:numPr>
        <w:spacing w:after="0" w:line="240" w:lineRule="auto"/>
        <w:jc w:val="both"/>
        <w:rPr>
          <w:lang w:val="en-US"/>
        </w:rPr>
      </w:pPr>
      <w:r>
        <w:rPr>
          <w:lang w:val="en-US"/>
        </w:rPr>
        <w:t>F</w:t>
      </w:r>
      <w:r w:rsidR="00184E75" w:rsidRPr="00C41DDD">
        <w:rPr>
          <w:lang w:val="en-US"/>
        </w:rPr>
        <w:t xml:space="preserve">or the State Universities and Colleges (SUCs), the exact number is not yet available, but </w:t>
      </w:r>
      <w:r w:rsidR="0000468C">
        <w:rPr>
          <w:lang w:val="en-US"/>
        </w:rPr>
        <w:t xml:space="preserve">the amount of PBB </w:t>
      </w:r>
      <w:r w:rsidR="00184E75" w:rsidRPr="00C41DDD">
        <w:rPr>
          <w:lang w:val="en-US"/>
        </w:rPr>
        <w:t>that w</w:t>
      </w:r>
      <w:r w:rsidR="0000468C">
        <w:rPr>
          <w:lang w:val="en-US"/>
        </w:rPr>
        <w:t>as already paid out by the DBM is already included in the Php 1.8 billion released.</w:t>
      </w:r>
    </w:p>
    <w:p w:rsidR="00070A9C" w:rsidRDefault="00070A9C" w:rsidP="00070A9C">
      <w:pPr>
        <w:pStyle w:val="ListParagraph"/>
        <w:spacing w:after="0" w:line="240" w:lineRule="auto"/>
        <w:jc w:val="both"/>
        <w:rPr>
          <w:lang w:val="en-US"/>
        </w:rPr>
      </w:pPr>
    </w:p>
    <w:p w:rsidR="00070A9C" w:rsidRPr="00C41DDD" w:rsidRDefault="00070A9C" w:rsidP="008D0A27">
      <w:pPr>
        <w:pStyle w:val="ListParagraph"/>
        <w:numPr>
          <w:ilvl w:val="0"/>
          <w:numId w:val="9"/>
        </w:numPr>
        <w:spacing w:after="0" w:line="240" w:lineRule="auto"/>
        <w:jc w:val="both"/>
        <w:rPr>
          <w:lang w:val="en-US"/>
        </w:rPr>
      </w:pPr>
      <w:r>
        <w:rPr>
          <w:lang w:val="en-US"/>
        </w:rPr>
        <w:t xml:space="preserve">Usec. Moya asked if </w:t>
      </w:r>
      <w:r w:rsidR="00FE1938">
        <w:rPr>
          <w:lang w:val="en-US"/>
        </w:rPr>
        <w:t>the Secretariat received any issue with regard to the release of the PBB or if it was just awaiting the ranking of the agencies.  Ms. Ablan replied that the TWG is just awaiting the ranking reports from the Departments.</w:t>
      </w:r>
      <w:r w:rsidR="003A76C2">
        <w:rPr>
          <w:lang w:val="en-US"/>
        </w:rPr>
        <w:t xml:space="preserve"> </w:t>
      </w:r>
      <w:r w:rsidR="00FE1938">
        <w:rPr>
          <w:lang w:val="en-US"/>
        </w:rPr>
        <w:t xml:space="preserve">Usec. Moya then noted for confirmation that the TWG has already done its judgment on the eligibility of the agencies and that there are no other agencies that was still being assessed other than DepEd.  </w:t>
      </w:r>
    </w:p>
    <w:p w:rsidR="00607C1A" w:rsidRPr="00C41DDD" w:rsidRDefault="00607C1A" w:rsidP="006D5A30">
      <w:pPr>
        <w:pStyle w:val="ListParagraph"/>
        <w:spacing w:after="0"/>
        <w:contextualSpacing w:val="0"/>
        <w:rPr>
          <w:rFonts w:eastAsia="Times New Roman" w:cs="Arial"/>
          <w:b/>
          <w:i/>
          <w:lang w:val="en-US" w:eastAsia="en-PH"/>
        </w:rPr>
      </w:pPr>
    </w:p>
    <w:p w:rsidR="005E5119" w:rsidRPr="00C41DDD" w:rsidRDefault="006D5A30" w:rsidP="006D5A30">
      <w:pPr>
        <w:spacing w:after="0" w:line="240" w:lineRule="auto"/>
        <w:jc w:val="both"/>
        <w:rPr>
          <w:rFonts w:eastAsia="Times New Roman" w:cs="Arial"/>
          <w:b/>
          <w:lang w:eastAsia="en-PH"/>
        </w:rPr>
      </w:pPr>
      <w:r>
        <w:rPr>
          <w:rFonts w:eastAsia="Times New Roman" w:cs="Arial"/>
          <w:b/>
          <w:lang w:eastAsia="en-PH"/>
        </w:rPr>
        <w:t>4</w:t>
      </w:r>
      <w:r w:rsidR="00532CED">
        <w:rPr>
          <w:rFonts w:eastAsia="Times New Roman" w:cs="Arial"/>
          <w:b/>
          <w:lang w:eastAsia="en-PH"/>
        </w:rPr>
        <w:t xml:space="preserve">.2 </w:t>
      </w:r>
      <w:r>
        <w:rPr>
          <w:rFonts w:eastAsia="Times New Roman" w:cs="Arial"/>
          <w:b/>
          <w:lang w:eastAsia="en-PH"/>
        </w:rPr>
        <w:t>STATUS OF APPEAL FY 2014</w:t>
      </w:r>
      <w:r w:rsidRPr="00F955D4">
        <w:rPr>
          <w:rFonts w:eastAsia="Times New Roman" w:cs="Arial"/>
          <w:b/>
          <w:lang w:eastAsia="en-PH"/>
        </w:rPr>
        <w:t xml:space="preserve"> PBB</w:t>
      </w:r>
    </w:p>
    <w:p w:rsidR="00FE1938" w:rsidRDefault="00FE1938" w:rsidP="008D0A27">
      <w:pPr>
        <w:pStyle w:val="ListParagraph"/>
        <w:numPr>
          <w:ilvl w:val="0"/>
          <w:numId w:val="11"/>
        </w:numPr>
        <w:jc w:val="both"/>
        <w:rPr>
          <w:rFonts w:cs="Arial"/>
        </w:rPr>
      </w:pPr>
      <w:r w:rsidRPr="00FE1938">
        <w:rPr>
          <w:rFonts w:cs="Arial"/>
        </w:rPr>
        <w:t xml:space="preserve">Ms. Ablan reported that there were 10 </w:t>
      </w:r>
      <w:r w:rsidR="00C41DDD" w:rsidRPr="00FE1938">
        <w:rPr>
          <w:rFonts w:cs="Arial"/>
        </w:rPr>
        <w:t xml:space="preserve">GOCCs </w:t>
      </w:r>
      <w:r>
        <w:rPr>
          <w:rFonts w:cs="Arial"/>
        </w:rPr>
        <w:t>under</w:t>
      </w:r>
      <w:r w:rsidR="00C41DDD" w:rsidRPr="00FE1938">
        <w:rPr>
          <w:rFonts w:cs="Arial"/>
        </w:rPr>
        <w:t xml:space="preserve"> GCG</w:t>
      </w:r>
      <w:r>
        <w:rPr>
          <w:rFonts w:cs="Arial"/>
        </w:rPr>
        <w:t xml:space="preserve"> that</w:t>
      </w:r>
      <w:r w:rsidR="00C41DDD" w:rsidRPr="00FE1938">
        <w:rPr>
          <w:rFonts w:cs="Arial"/>
        </w:rPr>
        <w:t xml:space="preserve"> appealed to the AO 25 TWG</w:t>
      </w:r>
      <w:r>
        <w:rPr>
          <w:rFonts w:cs="Arial"/>
        </w:rPr>
        <w:t>.  The TWG already sent them a letter informing them that TWG was firm in honoring the findings o</w:t>
      </w:r>
      <w:r w:rsidR="008B21DB">
        <w:rPr>
          <w:rFonts w:cs="Arial"/>
        </w:rPr>
        <w:t>f the validating agencies.</w:t>
      </w:r>
      <w:r w:rsidR="00706F04">
        <w:rPr>
          <w:rFonts w:cs="Arial"/>
        </w:rPr>
        <w:t xml:space="preserve"> </w:t>
      </w:r>
      <w:r w:rsidR="008B21DB">
        <w:rPr>
          <w:rFonts w:cs="Arial"/>
        </w:rPr>
        <w:t>T</w:t>
      </w:r>
      <w:r w:rsidR="00706F04">
        <w:rPr>
          <w:rFonts w:cs="Arial"/>
        </w:rPr>
        <w:t xml:space="preserve">hus, </w:t>
      </w:r>
      <w:r>
        <w:rPr>
          <w:rFonts w:cs="Arial"/>
        </w:rPr>
        <w:t xml:space="preserve">if they appeal to be delisted from the NC list, they would have to make the appeal to the validating/oversight agencies.  </w:t>
      </w:r>
      <w:r w:rsidR="00771753">
        <w:rPr>
          <w:rFonts w:cs="Arial"/>
        </w:rPr>
        <w:t>She then reported the status of each agency appealing:</w:t>
      </w:r>
    </w:p>
    <w:p w:rsidR="00771753" w:rsidRDefault="00771753" w:rsidP="00771753">
      <w:pPr>
        <w:pStyle w:val="ListParagraph"/>
        <w:numPr>
          <w:ilvl w:val="0"/>
          <w:numId w:val="39"/>
        </w:numPr>
        <w:jc w:val="both"/>
        <w:rPr>
          <w:rFonts w:cs="Arial"/>
        </w:rPr>
      </w:pPr>
      <w:r>
        <w:rPr>
          <w:rFonts w:cs="Arial"/>
        </w:rPr>
        <w:t xml:space="preserve">National Tobacco Administration was assessed to be not compliant with PhilGEPS and SALN.  PhilGEPS </w:t>
      </w:r>
      <w:r w:rsidRPr="006D5A30">
        <w:rPr>
          <w:rFonts w:cs="Arial"/>
        </w:rPr>
        <w:t>gave NTA a chance</w:t>
      </w:r>
      <w:r>
        <w:rPr>
          <w:rFonts w:cs="Arial"/>
        </w:rPr>
        <w:t xml:space="preserve"> to rectify their deficiency.  NTA also visited </w:t>
      </w:r>
      <w:r w:rsidRPr="009B5E5A">
        <w:t>the Office of the President to appeal about their SALN</w:t>
      </w:r>
      <w:r>
        <w:t xml:space="preserve"> and </w:t>
      </w:r>
      <w:r>
        <w:rPr>
          <w:rFonts w:cs="Arial"/>
        </w:rPr>
        <w:t>p</w:t>
      </w:r>
      <w:r w:rsidRPr="006D5A30">
        <w:rPr>
          <w:rFonts w:cs="Arial"/>
        </w:rPr>
        <w:t>er OP</w:t>
      </w:r>
      <w:r>
        <w:rPr>
          <w:rFonts w:cs="Arial"/>
        </w:rPr>
        <w:t>-OES,</w:t>
      </w:r>
      <w:r w:rsidRPr="006D5A30">
        <w:rPr>
          <w:rFonts w:cs="Arial"/>
        </w:rPr>
        <w:t xml:space="preserve"> NTA </w:t>
      </w:r>
      <w:r>
        <w:rPr>
          <w:rFonts w:cs="Arial"/>
        </w:rPr>
        <w:t>wa</w:t>
      </w:r>
      <w:r w:rsidRPr="006D5A30">
        <w:rPr>
          <w:rFonts w:cs="Arial"/>
        </w:rPr>
        <w:t>s already compliant with SALN</w:t>
      </w:r>
      <w:r>
        <w:rPr>
          <w:rFonts w:cs="Arial"/>
        </w:rPr>
        <w:t xml:space="preserve"> as of </w:t>
      </w:r>
      <w:r w:rsidRPr="006D5A30">
        <w:rPr>
          <w:rFonts w:cs="Arial"/>
        </w:rPr>
        <w:t>18</w:t>
      </w:r>
      <w:r>
        <w:rPr>
          <w:rFonts w:cs="Arial"/>
        </w:rPr>
        <w:t xml:space="preserve"> August </w:t>
      </w:r>
      <w:r w:rsidRPr="006D5A30">
        <w:rPr>
          <w:rFonts w:cs="Arial"/>
        </w:rPr>
        <w:t>2015</w:t>
      </w:r>
      <w:r>
        <w:rPr>
          <w:rFonts w:cs="Arial"/>
        </w:rPr>
        <w:t>.</w:t>
      </w:r>
    </w:p>
    <w:p w:rsidR="00E07596" w:rsidRDefault="00E07596" w:rsidP="00771753">
      <w:pPr>
        <w:pStyle w:val="ListParagraph"/>
        <w:numPr>
          <w:ilvl w:val="0"/>
          <w:numId w:val="39"/>
        </w:numPr>
        <w:jc w:val="both"/>
        <w:rPr>
          <w:rFonts w:cs="Arial"/>
        </w:rPr>
      </w:pPr>
      <w:r>
        <w:rPr>
          <w:rFonts w:cs="Arial"/>
        </w:rPr>
        <w:t>Philippine Crop Insurance Corporation was assessed to be not compliant with ARTA. Nevertheless PCIC again appealed even though the Secretariat already relayed to them the decision of the TWG accepting the validation of the CSC.</w:t>
      </w:r>
    </w:p>
    <w:p w:rsidR="00E07596" w:rsidRDefault="00E07596" w:rsidP="00771753">
      <w:pPr>
        <w:pStyle w:val="ListParagraph"/>
        <w:numPr>
          <w:ilvl w:val="0"/>
          <w:numId w:val="39"/>
        </w:numPr>
        <w:jc w:val="both"/>
        <w:rPr>
          <w:rFonts w:cs="Arial"/>
        </w:rPr>
      </w:pPr>
      <w:r>
        <w:rPr>
          <w:rFonts w:cs="Arial"/>
        </w:rPr>
        <w:lastRenderedPageBreak/>
        <w:t>Mactan-Cebu International Airport Authority (MCIAA)</w:t>
      </w:r>
      <w:r w:rsidR="000E069C">
        <w:rPr>
          <w:rFonts w:cs="Arial"/>
        </w:rPr>
        <w:t xml:space="preserve"> was also assessed to be not compliant with ARTA.  They were already informed of the TWG decision but was still appealing their case.  </w:t>
      </w:r>
      <w:r>
        <w:rPr>
          <w:rFonts w:cs="Arial"/>
        </w:rPr>
        <w:t xml:space="preserve"> </w:t>
      </w:r>
    </w:p>
    <w:p w:rsidR="00475601" w:rsidRDefault="00475601" w:rsidP="00771753">
      <w:pPr>
        <w:pStyle w:val="ListParagraph"/>
        <w:numPr>
          <w:ilvl w:val="0"/>
          <w:numId w:val="39"/>
        </w:numPr>
        <w:jc w:val="both"/>
        <w:rPr>
          <w:rFonts w:cs="Arial"/>
        </w:rPr>
      </w:pPr>
      <w:r>
        <w:rPr>
          <w:rFonts w:cs="Arial"/>
        </w:rPr>
        <w:t>The AFP Retirement and Separation Benefits System (AFPRSBS) was not c</w:t>
      </w:r>
      <w:r w:rsidR="00313809">
        <w:rPr>
          <w:rFonts w:cs="Arial"/>
        </w:rPr>
        <w:t>ompliant with Transparency Seal.  H</w:t>
      </w:r>
      <w:r>
        <w:rPr>
          <w:rFonts w:cs="Arial"/>
        </w:rPr>
        <w:t>owever, according to DBM-OCIO, they already closed the validation for TS.</w:t>
      </w:r>
    </w:p>
    <w:p w:rsidR="00771753" w:rsidRDefault="00475601" w:rsidP="00771753">
      <w:pPr>
        <w:pStyle w:val="ListParagraph"/>
        <w:numPr>
          <w:ilvl w:val="0"/>
          <w:numId w:val="39"/>
        </w:numPr>
        <w:jc w:val="both"/>
        <w:rPr>
          <w:rFonts w:cs="Arial"/>
        </w:rPr>
      </w:pPr>
      <w:r w:rsidRPr="00C41DDD">
        <w:rPr>
          <w:rFonts w:cs="Arial"/>
        </w:rPr>
        <w:t>LBP Resources and Development Corporation (LBRDC)</w:t>
      </w:r>
      <w:r>
        <w:rPr>
          <w:rFonts w:cs="Arial"/>
        </w:rPr>
        <w:t xml:space="preserve"> was not compliant with SALN.</w:t>
      </w:r>
    </w:p>
    <w:p w:rsidR="00475601" w:rsidRDefault="00475601" w:rsidP="00771753">
      <w:pPr>
        <w:pStyle w:val="ListParagraph"/>
        <w:numPr>
          <w:ilvl w:val="0"/>
          <w:numId w:val="39"/>
        </w:numPr>
        <w:jc w:val="both"/>
        <w:rPr>
          <w:rFonts w:cs="Arial"/>
        </w:rPr>
      </w:pPr>
      <w:r w:rsidRPr="00C41DDD">
        <w:rPr>
          <w:rFonts w:cs="Arial"/>
        </w:rPr>
        <w:t>National Dairy Authority (NDA)</w:t>
      </w:r>
      <w:r>
        <w:rPr>
          <w:rFonts w:cs="Arial"/>
        </w:rPr>
        <w:t xml:space="preserve"> was not compliant with ARTA.</w:t>
      </w:r>
    </w:p>
    <w:p w:rsidR="00475601" w:rsidRDefault="00475601" w:rsidP="00771753">
      <w:pPr>
        <w:pStyle w:val="ListParagraph"/>
        <w:numPr>
          <w:ilvl w:val="0"/>
          <w:numId w:val="39"/>
        </w:numPr>
        <w:jc w:val="both"/>
        <w:rPr>
          <w:rFonts w:cs="Arial"/>
        </w:rPr>
      </w:pPr>
      <w:r w:rsidRPr="00C41DDD">
        <w:rPr>
          <w:rFonts w:cs="Arial"/>
        </w:rPr>
        <w:t>National Irrigation Administration (NIA)</w:t>
      </w:r>
      <w:r>
        <w:rPr>
          <w:rFonts w:cs="Arial"/>
        </w:rPr>
        <w:t xml:space="preserve"> was not compliant with ARTA and PhilGEPS.  When the Secretariat sent feedback to NIA, there was no feedback received from NIA expressing interest to appeal again.</w:t>
      </w:r>
    </w:p>
    <w:p w:rsidR="00FE1938" w:rsidRDefault="00475601" w:rsidP="00FE1938">
      <w:pPr>
        <w:pStyle w:val="ListParagraph"/>
        <w:numPr>
          <w:ilvl w:val="0"/>
          <w:numId w:val="39"/>
        </w:numPr>
        <w:jc w:val="both"/>
        <w:rPr>
          <w:rFonts w:cs="Arial"/>
        </w:rPr>
      </w:pPr>
      <w:r w:rsidRPr="00475601">
        <w:rPr>
          <w:rFonts w:cs="Arial"/>
        </w:rPr>
        <w:t xml:space="preserve">People’s Television Network, Inc. (PTNI) was not </w:t>
      </w:r>
      <w:r>
        <w:rPr>
          <w:rFonts w:cs="Arial"/>
        </w:rPr>
        <w:t>compliant with ARTA and SALN.  Similar with NIA, when the Secretariat gave feedback to PTV (PTNI), the Secretariat did not receive feedback if PTNI would appeal again.</w:t>
      </w:r>
    </w:p>
    <w:p w:rsidR="00475601" w:rsidRDefault="00475601" w:rsidP="00FE1938">
      <w:pPr>
        <w:pStyle w:val="ListParagraph"/>
        <w:numPr>
          <w:ilvl w:val="0"/>
          <w:numId w:val="39"/>
        </w:numPr>
        <w:jc w:val="both"/>
        <w:rPr>
          <w:rFonts w:cs="Arial"/>
        </w:rPr>
      </w:pPr>
      <w:r w:rsidRPr="00C41DDD">
        <w:rPr>
          <w:rFonts w:cs="Arial"/>
        </w:rPr>
        <w:t>Philippine Coconut Authority (PCA)</w:t>
      </w:r>
      <w:r>
        <w:rPr>
          <w:rFonts w:cs="Arial"/>
        </w:rPr>
        <w:t xml:space="preserve"> was not compliant with ARTA.</w:t>
      </w:r>
    </w:p>
    <w:p w:rsidR="00475601" w:rsidRPr="00475601" w:rsidRDefault="00475601" w:rsidP="00FE1938">
      <w:pPr>
        <w:pStyle w:val="ListParagraph"/>
        <w:numPr>
          <w:ilvl w:val="0"/>
          <w:numId w:val="39"/>
        </w:numPr>
        <w:jc w:val="both"/>
        <w:rPr>
          <w:rFonts w:cs="Arial"/>
        </w:rPr>
      </w:pPr>
      <w:r w:rsidRPr="00C41DDD">
        <w:rPr>
          <w:rFonts w:cs="Arial"/>
        </w:rPr>
        <w:t>Sugar Regulatory Administration (SRA)</w:t>
      </w:r>
      <w:r>
        <w:rPr>
          <w:rFonts w:cs="Arial"/>
        </w:rPr>
        <w:t xml:space="preserve"> was not compliant with ARTA.</w:t>
      </w:r>
    </w:p>
    <w:p w:rsidR="009D3010" w:rsidRDefault="009D3010" w:rsidP="009D3010">
      <w:pPr>
        <w:pStyle w:val="ListParagraph"/>
        <w:jc w:val="both"/>
        <w:rPr>
          <w:rFonts w:cs="Arial"/>
        </w:rPr>
      </w:pPr>
    </w:p>
    <w:p w:rsidR="008615FC" w:rsidRPr="008615FC" w:rsidRDefault="008615FC" w:rsidP="008D0A27">
      <w:pPr>
        <w:pStyle w:val="ListParagraph"/>
        <w:numPr>
          <w:ilvl w:val="0"/>
          <w:numId w:val="25"/>
        </w:numPr>
        <w:spacing w:after="0" w:line="240" w:lineRule="auto"/>
        <w:jc w:val="both"/>
        <w:rPr>
          <w:rFonts w:eastAsia="Times New Roman" w:cs="Arial"/>
          <w:b/>
          <w:vanish/>
          <w:lang w:eastAsia="en-PH"/>
        </w:rPr>
      </w:pPr>
    </w:p>
    <w:p w:rsidR="008615FC" w:rsidRPr="008615FC" w:rsidRDefault="008615FC" w:rsidP="008D0A27">
      <w:pPr>
        <w:pStyle w:val="ListParagraph"/>
        <w:numPr>
          <w:ilvl w:val="0"/>
          <w:numId w:val="25"/>
        </w:numPr>
        <w:spacing w:after="0" w:line="240" w:lineRule="auto"/>
        <w:jc w:val="both"/>
        <w:rPr>
          <w:rFonts w:eastAsia="Times New Roman" w:cs="Arial"/>
          <w:b/>
          <w:vanish/>
          <w:lang w:eastAsia="en-PH"/>
        </w:rPr>
      </w:pPr>
    </w:p>
    <w:p w:rsidR="00A5656D" w:rsidRDefault="00003B85" w:rsidP="008D0A27">
      <w:pPr>
        <w:pStyle w:val="ListParagraph"/>
        <w:numPr>
          <w:ilvl w:val="0"/>
          <w:numId w:val="26"/>
        </w:numPr>
        <w:ind w:left="720"/>
        <w:jc w:val="both"/>
        <w:rPr>
          <w:rFonts w:cs="Arial"/>
        </w:rPr>
      </w:pPr>
      <w:r>
        <w:rPr>
          <w:rFonts w:cs="Arial"/>
        </w:rPr>
        <w:t xml:space="preserve">On the GOCCs that were assessed to be not compliant with ARTA, </w:t>
      </w:r>
      <w:r w:rsidR="00C41DDD" w:rsidRPr="006D5A30">
        <w:rPr>
          <w:rFonts w:cs="Arial"/>
        </w:rPr>
        <w:t>Commissioner Osorio</w:t>
      </w:r>
      <w:r w:rsidR="006D5A30">
        <w:rPr>
          <w:rFonts w:cs="Arial"/>
        </w:rPr>
        <w:t xml:space="preserve"> </w:t>
      </w:r>
      <w:r>
        <w:rPr>
          <w:rFonts w:cs="Arial"/>
        </w:rPr>
        <w:t xml:space="preserve">shared that based on their agreement with GCG after the last TWG meeting, CSC conducted re-validation of </w:t>
      </w:r>
      <w:r w:rsidR="00A5656D">
        <w:rPr>
          <w:rFonts w:cs="Arial"/>
        </w:rPr>
        <w:t xml:space="preserve">ARTA Compliance of 11 GOCCs under GCG.  </w:t>
      </w:r>
    </w:p>
    <w:p w:rsidR="00A5656D" w:rsidRDefault="00A5656D" w:rsidP="00A5656D">
      <w:pPr>
        <w:pStyle w:val="ListParagraph"/>
        <w:jc w:val="both"/>
        <w:rPr>
          <w:rFonts w:cs="Arial"/>
        </w:rPr>
      </w:pPr>
      <w:r>
        <w:rPr>
          <w:rFonts w:cs="Arial"/>
        </w:rPr>
        <w:t xml:space="preserve"> </w:t>
      </w:r>
    </w:p>
    <w:p w:rsidR="00A5656D" w:rsidRPr="00A5656D" w:rsidRDefault="00A5656D" w:rsidP="008D0A27">
      <w:pPr>
        <w:pStyle w:val="ListParagraph"/>
        <w:numPr>
          <w:ilvl w:val="0"/>
          <w:numId w:val="26"/>
        </w:numPr>
        <w:ind w:left="720"/>
        <w:jc w:val="both"/>
        <w:rPr>
          <w:rFonts w:cs="Arial"/>
        </w:rPr>
      </w:pPr>
      <w:r>
        <w:rPr>
          <w:rFonts w:cs="Arial"/>
        </w:rPr>
        <w:t xml:space="preserve">The 11 GOCCs were grouped into three.  The first group included GOCCs that </w:t>
      </w:r>
      <w:r w:rsidRPr="009B5E5A">
        <w:t>have not yet addressed their Citizen Charter and deficiencies and as</w:t>
      </w:r>
      <w:r w:rsidR="00825679">
        <w:t xml:space="preserve"> of</w:t>
      </w:r>
      <w:r w:rsidRPr="009B5E5A">
        <w:t xml:space="preserve"> August 7</w:t>
      </w:r>
      <w:r>
        <w:t>, report</w:t>
      </w:r>
      <w:r w:rsidRPr="009B5E5A">
        <w:t xml:space="preserve"> no </w:t>
      </w:r>
      <w:r>
        <w:t>COC submission to</w:t>
      </w:r>
      <w:r w:rsidRPr="009B5E5A">
        <w:t xml:space="preserve"> regional offices</w:t>
      </w:r>
      <w:r>
        <w:t xml:space="preserve"> concerned. </w:t>
      </w:r>
      <w:r w:rsidR="00B6615C">
        <w:t xml:space="preserve"> </w:t>
      </w:r>
    </w:p>
    <w:p w:rsidR="00A5656D" w:rsidRPr="00A5656D" w:rsidRDefault="00A5656D" w:rsidP="00A5656D">
      <w:pPr>
        <w:pStyle w:val="ListParagraph"/>
        <w:rPr>
          <w:rFonts w:cs="Arial"/>
        </w:rPr>
      </w:pPr>
    </w:p>
    <w:p w:rsidR="00A5656D" w:rsidRPr="00A5656D" w:rsidRDefault="00A5656D" w:rsidP="008D0A27">
      <w:pPr>
        <w:pStyle w:val="ListParagraph"/>
        <w:numPr>
          <w:ilvl w:val="0"/>
          <w:numId w:val="26"/>
        </w:numPr>
        <w:ind w:left="720"/>
        <w:jc w:val="both"/>
        <w:rPr>
          <w:rFonts w:cs="Arial"/>
        </w:rPr>
      </w:pPr>
      <w:r>
        <w:rPr>
          <w:rFonts w:cs="Arial"/>
        </w:rPr>
        <w:t xml:space="preserve">The second group included GOCCs that </w:t>
      </w:r>
      <w:r>
        <w:t>we</w:t>
      </w:r>
      <w:r w:rsidRPr="009B5E5A">
        <w:t>re requesting for reconsideration of their compliance</w:t>
      </w:r>
      <w:r>
        <w:t xml:space="preserve"> with</w:t>
      </w:r>
      <w:r w:rsidRPr="009B5E5A">
        <w:t xml:space="preserve"> Citizen</w:t>
      </w:r>
      <w:r>
        <w:t>s</w:t>
      </w:r>
      <w:r w:rsidRPr="009B5E5A">
        <w:t xml:space="preserve"> Charter</w:t>
      </w:r>
      <w:r>
        <w:t xml:space="preserve">.  All six GOCCs under this group </w:t>
      </w:r>
      <w:r w:rsidRPr="009B5E5A">
        <w:t xml:space="preserve">submitted their COCs beyond May 29, but attested </w:t>
      </w:r>
      <w:r>
        <w:t>that they</w:t>
      </w:r>
      <w:r w:rsidRPr="009B5E5A">
        <w:t xml:space="preserve"> submitted</w:t>
      </w:r>
      <w:r>
        <w:t xml:space="preserve"> and/or</w:t>
      </w:r>
      <w:r w:rsidRPr="009B5E5A">
        <w:t xml:space="preserve"> addressed their deficiencies even prior to </w:t>
      </w:r>
      <w:r>
        <w:t xml:space="preserve">May </w:t>
      </w:r>
      <w:r w:rsidRPr="009B5E5A">
        <w:t>29</w:t>
      </w:r>
      <w:r>
        <w:t>.</w:t>
      </w:r>
      <w:r w:rsidR="00B6615C">
        <w:t xml:space="preserve">  These GOCCs are: </w:t>
      </w:r>
      <w:r w:rsidR="00B6615C" w:rsidRPr="009B5E5A">
        <w:t>MCIAA</w:t>
      </w:r>
      <w:r w:rsidR="00707111">
        <w:t>,</w:t>
      </w:r>
      <w:r w:rsidR="00B6615C" w:rsidRPr="00B6615C">
        <w:rPr>
          <w:rFonts w:cs="Arial"/>
        </w:rPr>
        <w:t xml:space="preserve"> </w:t>
      </w:r>
      <w:r w:rsidR="00B6615C" w:rsidRPr="00C41DDD">
        <w:rPr>
          <w:rFonts w:cs="Arial"/>
        </w:rPr>
        <w:t>NDA</w:t>
      </w:r>
      <w:r w:rsidR="00B6615C" w:rsidRPr="009B5E5A">
        <w:t xml:space="preserve">, </w:t>
      </w:r>
      <w:r w:rsidR="00B6615C" w:rsidRPr="00C41DDD">
        <w:rPr>
          <w:rFonts w:cs="Arial"/>
        </w:rPr>
        <w:t>N</w:t>
      </w:r>
      <w:r w:rsidR="00B6615C">
        <w:rPr>
          <w:rFonts w:cs="Arial"/>
        </w:rPr>
        <w:t>I</w:t>
      </w:r>
      <w:r w:rsidR="00B6615C" w:rsidRPr="00C41DDD">
        <w:rPr>
          <w:rFonts w:cs="Arial"/>
        </w:rPr>
        <w:t>A</w:t>
      </w:r>
      <w:r w:rsidR="00B6615C" w:rsidRPr="009B5E5A">
        <w:t>,</w:t>
      </w:r>
      <w:r w:rsidR="00707111">
        <w:t xml:space="preserve"> PCIC,</w:t>
      </w:r>
      <w:r w:rsidR="00B6615C" w:rsidRPr="009B5E5A">
        <w:t xml:space="preserve"> </w:t>
      </w:r>
      <w:r w:rsidR="00B6615C">
        <w:t>Philippine Aerospace Development Corporation (</w:t>
      </w:r>
      <w:r w:rsidR="00B6615C" w:rsidRPr="009B5E5A">
        <w:t>PADC</w:t>
      </w:r>
      <w:r w:rsidR="00B6615C">
        <w:t>)</w:t>
      </w:r>
      <w:r w:rsidR="00B6615C" w:rsidRPr="009B5E5A">
        <w:t>,</w:t>
      </w:r>
      <w:r w:rsidR="00B6615C">
        <w:t xml:space="preserve"> and SRA.   She noted that the CSC regional office had a miscommunication with two of these GOCCs.  The CSC field office was instructed to immediately give feedback on the site once it visited the agencies</w:t>
      </w:r>
      <w:r w:rsidR="00AA072A">
        <w:t xml:space="preserve"> </w:t>
      </w:r>
      <w:r w:rsidR="00FF77F7">
        <w:t xml:space="preserve">and to </w:t>
      </w:r>
      <w:r w:rsidR="00FF77F7" w:rsidRPr="00FF77F7">
        <w:rPr>
          <w:b/>
          <w:i/>
        </w:rPr>
        <w:t>require submission of Certificate of Compliance within three days after visit</w:t>
      </w:r>
      <w:r w:rsidR="00B6615C" w:rsidRPr="00FF77F7">
        <w:rPr>
          <w:i/>
        </w:rPr>
        <w:t>.</w:t>
      </w:r>
      <w:r w:rsidR="00B6615C">
        <w:t xml:space="preserve">  </w:t>
      </w:r>
      <w:r w:rsidR="00FF77F7" w:rsidRPr="00FF77F7">
        <w:rPr>
          <w:b/>
          <w:i/>
        </w:rPr>
        <w:t>Said certification is proof that the office has already addressed the deficiencies.</w:t>
      </w:r>
      <w:r w:rsidR="00FF77F7">
        <w:t xml:space="preserve">  </w:t>
      </w:r>
      <w:r w:rsidR="00B6615C">
        <w:t>However, it was found ou</w:t>
      </w:r>
      <w:r w:rsidR="00FF77F7">
        <w:t>t by CSC that the GOCCs were</w:t>
      </w:r>
      <w:r w:rsidR="00B6615C">
        <w:t xml:space="preserve"> </w:t>
      </w:r>
      <w:r w:rsidR="00B6615C" w:rsidRPr="00FF77F7">
        <w:rPr>
          <w:b/>
          <w:i/>
        </w:rPr>
        <w:t>informed by GCG</w:t>
      </w:r>
      <w:r w:rsidR="00B6554D">
        <w:t>,</w:t>
      </w:r>
      <w:r w:rsidR="00FF77F7">
        <w:t xml:space="preserve"> </w:t>
      </w:r>
      <w:r w:rsidR="00B6615C">
        <w:t>through memo or emai</w:t>
      </w:r>
      <w:r w:rsidR="00B6554D">
        <w:t>l,</w:t>
      </w:r>
      <w:r w:rsidR="00B6615C">
        <w:t xml:space="preserve"> that CSC </w:t>
      </w:r>
      <w:r w:rsidR="00AA072A">
        <w:t>would r</w:t>
      </w:r>
      <w:r w:rsidR="00FF77F7">
        <w:t xml:space="preserve">evisit the GOCCs to re-validate </w:t>
      </w:r>
      <w:r w:rsidR="00FF77F7" w:rsidRPr="00FF77F7">
        <w:rPr>
          <w:b/>
          <w:i/>
        </w:rPr>
        <w:t>which is not the policy.</w:t>
      </w:r>
    </w:p>
    <w:p w:rsidR="00A5656D" w:rsidRPr="00A5656D" w:rsidRDefault="00A5656D" w:rsidP="00A5656D">
      <w:pPr>
        <w:pStyle w:val="ListParagraph"/>
        <w:rPr>
          <w:rFonts w:cs="Arial"/>
        </w:rPr>
      </w:pPr>
    </w:p>
    <w:p w:rsidR="00A5656D" w:rsidRDefault="00A5656D" w:rsidP="008D0A27">
      <w:pPr>
        <w:pStyle w:val="ListParagraph"/>
        <w:numPr>
          <w:ilvl w:val="0"/>
          <w:numId w:val="26"/>
        </w:numPr>
        <w:ind w:left="720"/>
        <w:jc w:val="both"/>
        <w:rPr>
          <w:rFonts w:cs="Arial"/>
        </w:rPr>
      </w:pPr>
      <w:r>
        <w:rPr>
          <w:rFonts w:cs="Arial"/>
        </w:rPr>
        <w:t>The third group</w:t>
      </w:r>
      <w:r w:rsidR="008962CD">
        <w:rPr>
          <w:rFonts w:cs="Arial"/>
        </w:rPr>
        <w:t>, which included PTNI and PCA, were those</w:t>
      </w:r>
      <w:r>
        <w:rPr>
          <w:rFonts w:cs="Arial"/>
        </w:rPr>
        <w:t xml:space="preserve"> that submitted their COCs beyond the May 29 deadline.  </w:t>
      </w:r>
    </w:p>
    <w:p w:rsidR="008962CD" w:rsidRPr="008962CD" w:rsidRDefault="008962CD" w:rsidP="008962CD">
      <w:pPr>
        <w:pStyle w:val="ListParagraph"/>
        <w:rPr>
          <w:rFonts w:cs="Arial"/>
        </w:rPr>
      </w:pPr>
    </w:p>
    <w:p w:rsidR="00707111" w:rsidRDefault="008962CD" w:rsidP="008D0A27">
      <w:pPr>
        <w:pStyle w:val="ListParagraph"/>
        <w:numPr>
          <w:ilvl w:val="0"/>
          <w:numId w:val="26"/>
        </w:numPr>
        <w:ind w:left="720"/>
        <w:jc w:val="both"/>
        <w:rPr>
          <w:rFonts w:cs="Arial"/>
        </w:rPr>
      </w:pPr>
      <w:r>
        <w:rPr>
          <w:rFonts w:cs="Arial"/>
        </w:rPr>
        <w:t xml:space="preserve">Commissioner Osorio said that for the first group, she would leave the decision to the TWG whether they would be given an opportunity to still address their ARTA deficiencies or not.  Meanwhile for the second group, she recommended to the TWG to accept the re-validated results of the CSC.   </w:t>
      </w:r>
    </w:p>
    <w:p w:rsidR="00707111" w:rsidRPr="00707111" w:rsidRDefault="00707111" w:rsidP="00707111">
      <w:pPr>
        <w:pStyle w:val="ListParagraph"/>
        <w:rPr>
          <w:rFonts w:cs="Arial"/>
        </w:rPr>
      </w:pPr>
    </w:p>
    <w:p w:rsidR="006D5A30" w:rsidRDefault="00707111" w:rsidP="008D0A27">
      <w:pPr>
        <w:pStyle w:val="ListParagraph"/>
        <w:numPr>
          <w:ilvl w:val="0"/>
          <w:numId w:val="26"/>
        </w:numPr>
        <w:ind w:left="720"/>
        <w:jc w:val="both"/>
        <w:rPr>
          <w:rFonts w:cs="Arial"/>
        </w:rPr>
      </w:pPr>
      <w:r>
        <w:rPr>
          <w:rFonts w:cs="Arial"/>
        </w:rPr>
        <w:lastRenderedPageBreak/>
        <w:t xml:space="preserve">For the third group, Dir. Helene Grace Ramos explained that based on their data PTNI complied with the Service Charter by July 13, 2015 whereas the deadline was last May.  Meanwhile, PCA was indeed non-compliant with ARTA since there were still three PCA regional offices that had deficiencies in ARTA and of the three offices, only two submitted COCs.  The two regional offices were already validated to be compliant with ARTA.   </w:t>
      </w:r>
    </w:p>
    <w:p w:rsidR="001A04CE" w:rsidRPr="001A04CE" w:rsidRDefault="001A04CE" w:rsidP="001A04CE">
      <w:pPr>
        <w:pStyle w:val="ListParagraph"/>
        <w:rPr>
          <w:rFonts w:cs="Arial"/>
        </w:rPr>
      </w:pPr>
    </w:p>
    <w:p w:rsidR="001A04CE" w:rsidRDefault="001A04CE" w:rsidP="008D0A27">
      <w:pPr>
        <w:pStyle w:val="ListParagraph"/>
        <w:numPr>
          <w:ilvl w:val="0"/>
          <w:numId w:val="26"/>
        </w:numPr>
        <w:ind w:left="720"/>
        <w:jc w:val="both"/>
        <w:rPr>
          <w:rFonts w:cs="Arial"/>
        </w:rPr>
      </w:pPr>
      <w:r>
        <w:rPr>
          <w:rFonts w:cs="Arial"/>
        </w:rPr>
        <w:t>For PCA, Asec. Nuque asked</w:t>
      </w:r>
      <w:r w:rsidR="002D6AD8">
        <w:rPr>
          <w:rFonts w:cs="Arial"/>
        </w:rPr>
        <w:t xml:space="preserve"> if</w:t>
      </w:r>
      <w:r>
        <w:rPr>
          <w:rFonts w:cs="Arial"/>
        </w:rPr>
        <w:t xml:space="preserve"> there would be isolation give</w:t>
      </w:r>
      <w:r w:rsidR="00D5688E">
        <w:rPr>
          <w:rFonts w:cs="Arial"/>
        </w:rPr>
        <w:t>n</w:t>
      </w:r>
      <w:r>
        <w:rPr>
          <w:rFonts w:cs="Arial"/>
        </w:rPr>
        <w:t xml:space="preserve"> that there was only one regional office that was still not compliant. However, Comm. Osorio clarified that there was no isolation in ARTA.  </w:t>
      </w:r>
    </w:p>
    <w:p w:rsidR="008962CD" w:rsidRPr="008962CD" w:rsidRDefault="008962CD" w:rsidP="008962CD">
      <w:pPr>
        <w:pStyle w:val="ListParagraph"/>
        <w:rPr>
          <w:rFonts w:cs="Arial"/>
        </w:rPr>
      </w:pPr>
    </w:p>
    <w:p w:rsidR="00707111" w:rsidRDefault="008962CD" w:rsidP="00707111">
      <w:pPr>
        <w:pStyle w:val="ListParagraph"/>
        <w:numPr>
          <w:ilvl w:val="0"/>
          <w:numId w:val="26"/>
        </w:numPr>
        <w:ind w:left="720"/>
        <w:jc w:val="both"/>
        <w:rPr>
          <w:rFonts w:cs="Arial"/>
        </w:rPr>
      </w:pPr>
      <w:r>
        <w:rPr>
          <w:rFonts w:cs="Arial"/>
        </w:rPr>
        <w:t>Reiterating the recommendations of Commissioner Osorio, Usec. Moya instructed the Secretariat to note that there was a consensus that the first group was already considered non-compliant.  For the second group, Usec. Moya asked if there was any objection to the recommendation of CSC to consider them compliant.  There being none, Usec. Moya then deferred to the recommendation of CSC.  Meanwhile for the third group</w:t>
      </w:r>
      <w:r w:rsidR="00707111">
        <w:rPr>
          <w:rFonts w:cs="Arial"/>
        </w:rPr>
        <w:t>, PTNI was recommended to be compliant with ARTA while PCA was recommended to be non-compliant.</w:t>
      </w:r>
    </w:p>
    <w:p w:rsidR="00707111" w:rsidRPr="00707111" w:rsidRDefault="00707111" w:rsidP="00707111">
      <w:pPr>
        <w:pStyle w:val="ListParagraph"/>
        <w:rPr>
          <w:rFonts w:cs="Arial"/>
        </w:rPr>
      </w:pPr>
    </w:p>
    <w:p w:rsidR="00CD49BA" w:rsidRDefault="00707111" w:rsidP="00CD49BA">
      <w:pPr>
        <w:pStyle w:val="ListParagraph"/>
        <w:numPr>
          <w:ilvl w:val="0"/>
          <w:numId w:val="26"/>
        </w:numPr>
        <w:ind w:left="720"/>
        <w:jc w:val="both"/>
        <w:rPr>
          <w:rFonts w:cs="Arial"/>
        </w:rPr>
      </w:pPr>
      <w:r>
        <w:rPr>
          <w:rFonts w:cs="Arial"/>
        </w:rPr>
        <w:t xml:space="preserve">Along the discussion of the revalidation, Commissioner Osorio raised that the consideration granted to the 7 agencies that were re-assessed as compliant will only apply in FY 2014 PBB.  Going forward, </w:t>
      </w:r>
      <w:r w:rsidR="00C725B5">
        <w:rPr>
          <w:rFonts w:cs="Arial"/>
        </w:rPr>
        <w:t xml:space="preserve">the GCG and CSC will have an improved and written process on the validation of GOCCs service charter/ARTA compliance.  </w:t>
      </w:r>
    </w:p>
    <w:p w:rsidR="00CD49BA" w:rsidRPr="00CD49BA" w:rsidRDefault="00CD49BA" w:rsidP="00CD49BA">
      <w:pPr>
        <w:pStyle w:val="ListParagraph"/>
        <w:rPr>
          <w:rFonts w:cs="Arial"/>
        </w:rPr>
      </w:pPr>
    </w:p>
    <w:p w:rsidR="00CD49BA" w:rsidRPr="00CD49BA" w:rsidRDefault="00C725B5" w:rsidP="00CD49BA">
      <w:pPr>
        <w:pStyle w:val="ListParagraph"/>
        <w:ind w:left="360"/>
        <w:jc w:val="both"/>
        <w:rPr>
          <w:rFonts w:cs="Arial"/>
        </w:rPr>
      </w:pPr>
      <w:r w:rsidRPr="00CD49BA">
        <w:rPr>
          <w:rFonts w:cs="Arial"/>
        </w:rPr>
        <w:t xml:space="preserve"> </w:t>
      </w:r>
      <w:r w:rsidR="00CD49BA" w:rsidRPr="00CD49BA">
        <w:rPr>
          <w:rFonts w:eastAsia="Times New Roman" w:cs="Arial"/>
          <w:b/>
          <w:lang w:eastAsia="en-PH"/>
        </w:rPr>
        <w:t xml:space="preserve">AGREEMENTS: </w:t>
      </w:r>
    </w:p>
    <w:p w:rsidR="00CB06BB" w:rsidRDefault="00BC7DC7" w:rsidP="008615FC">
      <w:pPr>
        <w:pStyle w:val="ListParagraph"/>
        <w:numPr>
          <w:ilvl w:val="0"/>
          <w:numId w:val="15"/>
        </w:numPr>
        <w:spacing w:after="0" w:line="240" w:lineRule="auto"/>
        <w:jc w:val="both"/>
        <w:rPr>
          <w:rFonts w:eastAsia="Times New Roman" w:cs="Arial"/>
          <w:lang w:val="en-US" w:eastAsia="en-PH"/>
        </w:rPr>
      </w:pPr>
      <w:r>
        <w:rPr>
          <w:rFonts w:eastAsia="Times New Roman" w:cs="Arial"/>
          <w:lang w:val="en-US" w:eastAsia="en-PH"/>
        </w:rPr>
        <w:t xml:space="preserve">There being no objections to the </w:t>
      </w:r>
      <w:r w:rsidR="001A04CE">
        <w:rPr>
          <w:rFonts w:eastAsia="Times New Roman" w:cs="Arial"/>
          <w:lang w:val="en-US" w:eastAsia="en-PH"/>
        </w:rPr>
        <w:t>recommendations of the CSC, the TWG deferred to the CSC’s validation.</w:t>
      </w:r>
      <w:r w:rsidR="00CB06BB">
        <w:rPr>
          <w:rFonts w:eastAsia="Times New Roman" w:cs="Arial"/>
          <w:lang w:val="en-US" w:eastAsia="en-PH"/>
        </w:rPr>
        <w:t xml:space="preserve">  However, the result of the ARTA </w:t>
      </w:r>
      <w:r w:rsidR="00B27D0B">
        <w:rPr>
          <w:rFonts w:eastAsia="Times New Roman" w:cs="Arial"/>
          <w:lang w:val="en-US" w:eastAsia="en-PH"/>
        </w:rPr>
        <w:t>validation should not prejudice</w:t>
      </w:r>
      <w:r w:rsidR="00CB06BB">
        <w:rPr>
          <w:rFonts w:eastAsia="Times New Roman" w:cs="Arial"/>
          <w:lang w:val="en-US" w:eastAsia="en-PH"/>
        </w:rPr>
        <w:t xml:space="preserve"> the validation of other good governance conditions.  </w:t>
      </w:r>
    </w:p>
    <w:p w:rsidR="00BB2A4C" w:rsidRPr="00BB2A4C" w:rsidRDefault="00BB2A4C" w:rsidP="00BB2A4C">
      <w:pPr>
        <w:pStyle w:val="ListParagraph"/>
        <w:spacing w:after="0" w:line="240" w:lineRule="auto"/>
        <w:jc w:val="both"/>
        <w:rPr>
          <w:rFonts w:eastAsia="Times New Roman" w:cs="Arial"/>
          <w:lang w:val="en-US" w:eastAsia="en-PH"/>
        </w:rPr>
      </w:pPr>
    </w:p>
    <w:p w:rsidR="00BB2A4C" w:rsidRPr="008044C4" w:rsidRDefault="008615FC" w:rsidP="008044C4">
      <w:pPr>
        <w:pStyle w:val="ListParagraph"/>
        <w:numPr>
          <w:ilvl w:val="1"/>
          <w:numId w:val="3"/>
        </w:numPr>
        <w:spacing w:after="0" w:line="240" w:lineRule="auto"/>
        <w:jc w:val="both"/>
        <w:rPr>
          <w:rFonts w:cs="Arial"/>
          <w:b/>
        </w:rPr>
      </w:pPr>
      <w:r w:rsidRPr="00BB2A4C">
        <w:rPr>
          <w:rFonts w:cs="Arial"/>
          <w:b/>
        </w:rPr>
        <w:t>ORIENTATION FOR THE GUIDELINES ON THE GRANT OF FY 2015 PBB</w:t>
      </w:r>
    </w:p>
    <w:p w:rsidR="00C41DDD" w:rsidRDefault="009E3FE1" w:rsidP="008D0A27">
      <w:pPr>
        <w:pStyle w:val="ListParagraph"/>
        <w:numPr>
          <w:ilvl w:val="0"/>
          <w:numId w:val="12"/>
        </w:numPr>
        <w:jc w:val="both"/>
        <w:rPr>
          <w:rFonts w:cs="Arial"/>
        </w:rPr>
      </w:pPr>
      <w:r>
        <w:rPr>
          <w:rFonts w:cs="Arial"/>
        </w:rPr>
        <w:t>Ms. Ablan reported that t</w:t>
      </w:r>
      <w:r w:rsidR="00C41DDD" w:rsidRPr="00C41DDD">
        <w:rPr>
          <w:rFonts w:cs="Arial"/>
        </w:rPr>
        <w:t xml:space="preserve">he AO 25 Secretariat conducted </w:t>
      </w:r>
      <w:r w:rsidR="008615FC">
        <w:rPr>
          <w:rFonts w:cs="Arial"/>
        </w:rPr>
        <w:t>PBB</w:t>
      </w:r>
      <w:r w:rsidR="00C41DDD" w:rsidRPr="00C41DDD">
        <w:rPr>
          <w:rFonts w:cs="Arial"/>
        </w:rPr>
        <w:t xml:space="preserve"> orientations for SUCs last 13</w:t>
      </w:r>
      <w:r w:rsidR="008615FC">
        <w:rPr>
          <w:rFonts w:cs="Arial"/>
        </w:rPr>
        <w:t xml:space="preserve"> August 2015</w:t>
      </w:r>
      <w:r w:rsidR="00C41DDD" w:rsidRPr="00C41DDD">
        <w:rPr>
          <w:rFonts w:cs="Arial"/>
        </w:rPr>
        <w:t xml:space="preserve"> and</w:t>
      </w:r>
      <w:r w:rsidR="008615FC">
        <w:rPr>
          <w:rFonts w:cs="Arial"/>
        </w:rPr>
        <w:t xml:space="preserve"> for</w:t>
      </w:r>
      <w:r w:rsidR="00C41DDD" w:rsidRPr="00C41DDD">
        <w:rPr>
          <w:rFonts w:cs="Arial"/>
        </w:rPr>
        <w:t xml:space="preserve"> the OEOs and GOCCs covered by DBM on 18</w:t>
      </w:r>
      <w:r w:rsidR="008615FC">
        <w:rPr>
          <w:rFonts w:cs="Arial"/>
        </w:rPr>
        <w:t xml:space="preserve"> </w:t>
      </w:r>
      <w:r w:rsidR="008615FC" w:rsidRPr="00C41DDD">
        <w:rPr>
          <w:rFonts w:cs="Arial"/>
        </w:rPr>
        <w:t>August</w:t>
      </w:r>
      <w:r w:rsidR="008615FC">
        <w:rPr>
          <w:rFonts w:cs="Arial"/>
        </w:rPr>
        <w:t xml:space="preserve"> 2015</w:t>
      </w:r>
      <w:r w:rsidR="00C41DDD" w:rsidRPr="00C41DDD">
        <w:rPr>
          <w:rFonts w:cs="Arial"/>
        </w:rPr>
        <w:t>.</w:t>
      </w:r>
      <w:r w:rsidR="00AF1A5E">
        <w:rPr>
          <w:rFonts w:cs="Arial"/>
        </w:rPr>
        <w:t xml:space="preserve"> For the SUCs</w:t>
      </w:r>
      <w:r w:rsidR="00C41DDD" w:rsidRPr="00C41DDD">
        <w:rPr>
          <w:rFonts w:cs="Arial"/>
        </w:rPr>
        <w:t xml:space="preserve"> 230</w:t>
      </w:r>
      <w:r w:rsidR="00AF1A5E">
        <w:rPr>
          <w:rFonts w:cs="Arial"/>
        </w:rPr>
        <w:t xml:space="preserve"> individuals from 109 SUCs attended.  Meanw</w:t>
      </w:r>
      <w:r w:rsidR="00C41DDD" w:rsidRPr="00C41DDD">
        <w:rPr>
          <w:rFonts w:cs="Arial"/>
        </w:rPr>
        <w:t>hile 104</w:t>
      </w:r>
      <w:r w:rsidR="00AF1A5E">
        <w:rPr>
          <w:rFonts w:cs="Arial"/>
        </w:rPr>
        <w:t xml:space="preserve"> individuals</w:t>
      </w:r>
      <w:r w:rsidR="00C41DDD" w:rsidRPr="00C41DDD">
        <w:rPr>
          <w:rFonts w:cs="Arial"/>
        </w:rPr>
        <w:t xml:space="preserve"> </w:t>
      </w:r>
      <w:r w:rsidR="00AF1A5E">
        <w:rPr>
          <w:rFonts w:cs="Arial"/>
        </w:rPr>
        <w:t xml:space="preserve">from 50 OEOs and GOCCs </w:t>
      </w:r>
      <w:r w:rsidR="00C41DDD" w:rsidRPr="00C41DDD">
        <w:rPr>
          <w:rFonts w:cs="Arial"/>
        </w:rPr>
        <w:t xml:space="preserve">attended the orientation for OEOs and GOCCs. </w:t>
      </w:r>
      <w:r w:rsidR="00AF1A5E">
        <w:rPr>
          <w:rFonts w:cs="Arial"/>
        </w:rPr>
        <w:t>The participation rate for SUCs was 96% (109/113) and 98%  (50/51) for OEOs and GOCCs covered by DBM</w:t>
      </w:r>
    </w:p>
    <w:p w:rsidR="009E3FE1" w:rsidRDefault="009E3FE1" w:rsidP="009E3FE1">
      <w:pPr>
        <w:pStyle w:val="ListParagraph"/>
        <w:jc w:val="both"/>
        <w:rPr>
          <w:rFonts w:cs="Arial"/>
        </w:rPr>
      </w:pPr>
      <w:r>
        <w:rPr>
          <w:rFonts w:cs="Arial"/>
        </w:rPr>
        <w:t xml:space="preserve"> </w:t>
      </w:r>
    </w:p>
    <w:p w:rsidR="009E3FE1" w:rsidRDefault="009E3FE1" w:rsidP="008D0A27">
      <w:pPr>
        <w:pStyle w:val="ListParagraph"/>
        <w:numPr>
          <w:ilvl w:val="0"/>
          <w:numId w:val="12"/>
        </w:numPr>
        <w:jc w:val="both"/>
        <w:rPr>
          <w:rFonts w:cs="Arial"/>
        </w:rPr>
      </w:pPr>
      <w:r>
        <w:rPr>
          <w:rFonts w:cs="Arial"/>
        </w:rPr>
        <w:t xml:space="preserve">Another orientation for the departments and constitutional offices would be conducted on 20 August 2015.   </w:t>
      </w:r>
    </w:p>
    <w:p w:rsidR="00021551" w:rsidRPr="00C41DDD" w:rsidRDefault="00021551" w:rsidP="00021551">
      <w:pPr>
        <w:pStyle w:val="ListParagraph"/>
        <w:jc w:val="both"/>
        <w:rPr>
          <w:rFonts w:cs="Arial"/>
        </w:rPr>
      </w:pPr>
    </w:p>
    <w:p w:rsidR="00021551" w:rsidRDefault="00AF1A5E" w:rsidP="008D0A27">
      <w:pPr>
        <w:pStyle w:val="ListParagraph"/>
        <w:numPr>
          <w:ilvl w:val="0"/>
          <w:numId w:val="12"/>
        </w:numPr>
        <w:jc w:val="both"/>
        <w:rPr>
          <w:rFonts w:cs="Arial"/>
        </w:rPr>
      </w:pPr>
      <w:r>
        <w:rPr>
          <w:rFonts w:cs="Arial"/>
        </w:rPr>
        <w:t>During the orientation for SUCs, a</w:t>
      </w:r>
      <w:r w:rsidR="00C41DDD" w:rsidRPr="00C41DDD">
        <w:rPr>
          <w:rFonts w:cs="Arial"/>
        </w:rPr>
        <w:t xml:space="preserve"> short survey was given to the participants as a way of getting feedback on the PBB implementation and process. The participants score</w:t>
      </w:r>
      <w:r w:rsidR="007823EE">
        <w:rPr>
          <w:rFonts w:cs="Arial"/>
        </w:rPr>
        <w:t>d</w:t>
      </w:r>
      <w:r w:rsidR="00C41DDD" w:rsidRPr="00C41DDD">
        <w:rPr>
          <w:rFonts w:cs="Arial"/>
        </w:rPr>
        <w:t xml:space="preserve"> the questions/area</w:t>
      </w:r>
      <w:r w:rsidR="007823EE">
        <w:rPr>
          <w:rFonts w:cs="Arial"/>
        </w:rPr>
        <w:t>s</w:t>
      </w:r>
      <w:r w:rsidR="00C41DDD" w:rsidRPr="00C41DDD">
        <w:rPr>
          <w:rFonts w:cs="Arial"/>
        </w:rPr>
        <w:t xml:space="preserve"> of concern with 1 for Strongly Disagree to 5 as Strongly Agree. The survey for the OEOs and GOCCs </w:t>
      </w:r>
      <w:r w:rsidR="00FF3746">
        <w:rPr>
          <w:rFonts w:cs="Arial"/>
        </w:rPr>
        <w:t>ha</w:t>
      </w:r>
      <w:r w:rsidR="007C25A3">
        <w:rPr>
          <w:rFonts w:cs="Arial"/>
        </w:rPr>
        <w:t xml:space="preserve">s </w:t>
      </w:r>
      <w:r w:rsidR="00C41DDD" w:rsidRPr="00C41DDD">
        <w:rPr>
          <w:rFonts w:cs="Arial"/>
        </w:rPr>
        <w:t xml:space="preserve">yet to be computed since it was conducted earlier that day. </w:t>
      </w:r>
    </w:p>
    <w:p w:rsidR="009E3FE1" w:rsidRPr="009E3FE1" w:rsidRDefault="009E3FE1" w:rsidP="009E3FE1">
      <w:pPr>
        <w:pStyle w:val="ListParagraph"/>
        <w:rPr>
          <w:rFonts w:cs="Arial"/>
        </w:rPr>
      </w:pPr>
    </w:p>
    <w:p w:rsidR="00AF56E8" w:rsidRPr="00AF56E8" w:rsidRDefault="009E3FE1" w:rsidP="00AF56E8">
      <w:pPr>
        <w:pStyle w:val="ListParagraph"/>
        <w:numPr>
          <w:ilvl w:val="0"/>
          <w:numId w:val="12"/>
        </w:numPr>
        <w:jc w:val="both"/>
        <w:rPr>
          <w:rFonts w:cs="Arial"/>
        </w:rPr>
      </w:pPr>
      <w:r>
        <w:t>Ms. Ablan ran through the questions</w:t>
      </w:r>
      <w:r w:rsidR="007823EE">
        <w:t>/areas of concern</w:t>
      </w:r>
      <w:r>
        <w:t xml:space="preserve"> that were asked during the survey and the average response rate of the respondents for that specific question.  </w:t>
      </w:r>
    </w:p>
    <w:p w:rsidR="00AF56E8" w:rsidRDefault="00AF56E8" w:rsidP="00AF56E8">
      <w:pPr>
        <w:pStyle w:val="ListParagraph"/>
      </w:pPr>
    </w:p>
    <w:p w:rsidR="00AF56E8" w:rsidRPr="00AF56E8" w:rsidRDefault="009E3FE1" w:rsidP="00AF56E8">
      <w:pPr>
        <w:pStyle w:val="ListParagraph"/>
        <w:numPr>
          <w:ilvl w:val="0"/>
          <w:numId w:val="12"/>
        </w:numPr>
        <w:jc w:val="both"/>
        <w:rPr>
          <w:rFonts w:cs="Arial"/>
        </w:rPr>
      </w:pPr>
      <w:r w:rsidRPr="009B5E5A">
        <w:t>First</w:t>
      </w:r>
      <w:r w:rsidR="007823EE">
        <w:t>, the participants were</w:t>
      </w:r>
      <w:r w:rsidRPr="009B5E5A">
        <w:t xml:space="preserve"> ask</w:t>
      </w:r>
      <w:r w:rsidR="007823EE">
        <w:t>ed whether they agree or disagree on</w:t>
      </w:r>
      <w:r w:rsidRPr="009B5E5A">
        <w:t xml:space="preserve"> the</w:t>
      </w:r>
      <w:r w:rsidR="007823EE">
        <w:t xml:space="preserve"> PBBs</w:t>
      </w:r>
      <w:r w:rsidRPr="009B5E5A">
        <w:t xml:space="preserve"> contribution </w:t>
      </w:r>
      <w:r w:rsidR="007823EE">
        <w:t>to</w:t>
      </w:r>
      <w:r w:rsidRPr="009B5E5A">
        <w:t xml:space="preserve"> their</w:t>
      </w:r>
      <w:r w:rsidR="007823EE">
        <w:t xml:space="preserve"> respective</w:t>
      </w:r>
      <w:r w:rsidRPr="009B5E5A">
        <w:t xml:space="preserve"> agencies</w:t>
      </w:r>
      <w:r w:rsidR="007823EE">
        <w:t>’</w:t>
      </w:r>
      <w:r w:rsidRPr="009B5E5A">
        <w:t xml:space="preserve"> monitoring an</w:t>
      </w:r>
      <w:r w:rsidR="007823EE">
        <w:t>d</w:t>
      </w:r>
      <w:r w:rsidRPr="009B5E5A">
        <w:t xml:space="preserve"> organizational performance</w:t>
      </w:r>
      <w:r w:rsidR="008763A8">
        <w:t>. T</w:t>
      </w:r>
      <w:r w:rsidR="007823EE">
        <w:t xml:space="preserve">he </w:t>
      </w:r>
      <w:r w:rsidR="007823EE" w:rsidRPr="009B5E5A">
        <w:t>average response rate</w:t>
      </w:r>
      <w:r w:rsidR="007823EE">
        <w:t xml:space="preserve"> was</w:t>
      </w:r>
      <w:r w:rsidRPr="009B5E5A">
        <w:t xml:space="preserve"> 4.46</w:t>
      </w:r>
      <w:r w:rsidR="00AF56E8">
        <w:t xml:space="preserve">. </w:t>
      </w:r>
      <w:r w:rsidR="007823EE">
        <w:t>On whether the</w:t>
      </w:r>
      <w:r w:rsidRPr="009B5E5A">
        <w:t xml:space="preserve"> PBB contributed to the performance of the SUCs employees</w:t>
      </w:r>
      <w:r w:rsidR="007823EE">
        <w:t>, the average response rate was</w:t>
      </w:r>
      <w:r w:rsidRPr="009B5E5A">
        <w:t xml:space="preserve"> 4.08</w:t>
      </w:r>
      <w:r w:rsidR="00AF56E8">
        <w:t xml:space="preserve">.  </w:t>
      </w:r>
      <w:r w:rsidR="007823EE">
        <w:t>H</w:t>
      </w:r>
      <w:r w:rsidRPr="009B5E5A">
        <w:t xml:space="preserve">ow the PBB contributed to </w:t>
      </w:r>
      <w:r w:rsidR="007823EE">
        <w:t>SUCs</w:t>
      </w:r>
      <w:r w:rsidRPr="009B5E5A">
        <w:t xml:space="preserve"> serving the public</w:t>
      </w:r>
      <w:r w:rsidR="007823EE">
        <w:t xml:space="preserve"> got an average response rate of</w:t>
      </w:r>
      <w:r w:rsidRPr="009B5E5A">
        <w:t xml:space="preserve"> 4.15</w:t>
      </w:r>
      <w:r w:rsidR="00AF56E8">
        <w:t>.</w:t>
      </w:r>
    </w:p>
    <w:p w:rsidR="00AF56E8" w:rsidRDefault="00AF56E8" w:rsidP="00AF56E8">
      <w:pPr>
        <w:pStyle w:val="ListParagraph"/>
      </w:pPr>
    </w:p>
    <w:p w:rsidR="00AF56E8" w:rsidRPr="00AF56E8" w:rsidRDefault="003775B7" w:rsidP="00AF56E8">
      <w:pPr>
        <w:pStyle w:val="ListParagraph"/>
        <w:numPr>
          <w:ilvl w:val="0"/>
          <w:numId w:val="12"/>
        </w:numPr>
        <w:jc w:val="both"/>
        <w:rPr>
          <w:rFonts w:cs="Arial"/>
        </w:rPr>
      </w:pPr>
      <w:r>
        <w:t xml:space="preserve">Whether the participants agree or disagree that </w:t>
      </w:r>
      <w:r w:rsidR="009E3FE1" w:rsidRPr="009B5E5A">
        <w:t>the IATF provides clear guidelines and directive</w:t>
      </w:r>
      <w:r>
        <w:t xml:space="preserve"> got an average response rate of</w:t>
      </w:r>
      <w:r w:rsidR="009E3FE1" w:rsidRPr="009B5E5A">
        <w:t xml:space="preserve"> 3.9</w:t>
      </w:r>
      <w:r w:rsidR="00AF56E8">
        <w:t xml:space="preserve">.  </w:t>
      </w:r>
      <w:r>
        <w:t xml:space="preserve">Participants were also asked whether </w:t>
      </w:r>
      <w:r w:rsidR="009E3FE1" w:rsidRPr="009B5E5A">
        <w:t>the PBB</w:t>
      </w:r>
      <w:r>
        <w:t xml:space="preserve"> was fair, particularly CHED, in validating the MFOs of the SUCs/agencies, the average response rate</w:t>
      </w:r>
      <w:r w:rsidR="009E3FE1" w:rsidRPr="009B5E5A">
        <w:t xml:space="preserve"> was 4.2</w:t>
      </w:r>
      <w:r>
        <w:t xml:space="preserve">.  </w:t>
      </w:r>
      <w:r w:rsidR="0087050D">
        <w:t>F</w:t>
      </w:r>
      <w:r w:rsidR="009E3FE1" w:rsidRPr="009B5E5A">
        <w:t>or the GASS Accomplishment validation for ROs</w:t>
      </w:r>
      <w:r w:rsidR="0087050D">
        <w:t>, the average response rate was</w:t>
      </w:r>
      <w:r w:rsidR="009E3FE1" w:rsidRPr="009B5E5A">
        <w:t xml:space="preserve"> 4.25</w:t>
      </w:r>
      <w:r w:rsidR="0087050D">
        <w:t>;</w:t>
      </w:r>
      <w:r w:rsidR="009E3FE1" w:rsidRPr="009B5E5A">
        <w:t xml:space="preserve"> the ARTA</w:t>
      </w:r>
      <w:r w:rsidR="0087050D">
        <w:t xml:space="preserve"> validation</w:t>
      </w:r>
      <w:r w:rsidR="009E3FE1" w:rsidRPr="009B5E5A">
        <w:t xml:space="preserve"> by CSC</w:t>
      </w:r>
      <w:r w:rsidR="0087050D">
        <w:t xml:space="preserve"> got</w:t>
      </w:r>
      <w:r w:rsidR="009E3FE1" w:rsidRPr="009B5E5A">
        <w:t xml:space="preserve"> 4.25</w:t>
      </w:r>
      <w:r w:rsidR="0087050D">
        <w:t xml:space="preserve">; the </w:t>
      </w:r>
      <w:r w:rsidR="009E3FE1" w:rsidRPr="009B5E5A">
        <w:t>Report on Aging by COA</w:t>
      </w:r>
      <w:r w:rsidR="0087050D">
        <w:t xml:space="preserve"> got</w:t>
      </w:r>
      <w:r w:rsidR="009E3FE1" w:rsidRPr="009B5E5A">
        <w:t xml:space="preserve"> 4.25</w:t>
      </w:r>
      <w:r w:rsidR="0087050D">
        <w:t>;</w:t>
      </w:r>
      <w:r w:rsidR="009E3FE1" w:rsidRPr="009B5E5A">
        <w:t xml:space="preserve"> </w:t>
      </w:r>
      <w:r w:rsidR="0087050D">
        <w:t>t</w:t>
      </w:r>
      <w:r w:rsidR="009E3FE1" w:rsidRPr="009B5E5A">
        <w:t>he PhilG</w:t>
      </w:r>
      <w:r w:rsidR="0087050D">
        <w:t>EPS</w:t>
      </w:r>
      <w:r w:rsidR="009E3FE1" w:rsidRPr="009B5E5A">
        <w:t xml:space="preserve"> posting, the Transparency and the SALN by OP, OMBUDSMAN and CSC </w:t>
      </w:r>
      <w:r w:rsidR="0087050D">
        <w:t>all got above</w:t>
      </w:r>
      <w:r w:rsidR="009E3FE1" w:rsidRPr="009B5E5A">
        <w:t xml:space="preserve"> 4</w:t>
      </w:r>
      <w:r w:rsidR="0087050D">
        <w:t>.0 average response rate</w:t>
      </w:r>
      <w:r w:rsidR="00AF56E8">
        <w:t>;</w:t>
      </w:r>
      <w:r w:rsidR="0087050D">
        <w:t xml:space="preserve">  </w:t>
      </w:r>
    </w:p>
    <w:p w:rsidR="00AF56E8" w:rsidRDefault="00AF56E8" w:rsidP="00AF56E8">
      <w:pPr>
        <w:pStyle w:val="ListParagraph"/>
      </w:pPr>
    </w:p>
    <w:p w:rsidR="00AF56E8" w:rsidRPr="00AF56E8" w:rsidRDefault="00AF56E8" w:rsidP="00AF56E8">
      <w:pPr>
        <w:pStyle w:val="ListParagraph"/>
        <w:numPr>
          <w:ilvl w:val="0"/>
          <w:numId w:val="12"/>
        </w:numPr>
        <w:jc w:val="both"/>
        <w:rPr>
          <w:rFonts w:cs="Arial"/>
        </w:rPr>
      </w:pPr>
      <w:r>
        <w:t xml:space="preserve">Participants were also asked if they agree or disagree that the RBPMS website provides accurate information, the average response rate was 3.63.  </w:t>
      </w:r>
      <w:r w:rsidRPr="00AF56E8">
        <w:rPr>
          <w:rFonts w:cs="Arial"/>
        </w:rPr>
        <w:t xml:space="preserve">On whether they agree or disagree that the RBPMS website was regularly updated, the average response was </w:t>
      </w:r>
      <w:r>
        <w:t xml:space="preserve">3.49.  </w:t>
      </w:r>
    </w:p>
    <w:p w:rsidR="00AF56E8" w:rsidRDefault="00AF56E8" w:rsidP="00AF56E8">
      <w:pPr>
        <w:pStyle w:val="ListParagraph"/>
      </w:pPr>
    </w:p>
    <w:p w:rsidR="00034D85" w:rsidRPr="00034D85" w:rsidRDefault="00AF56E8" w:rsidP="00034D85">
      <w:pPr>
        <w:pStyle w:val="ListParagraph"/>
        <w:numPr>
          <w:ilvl w:val="0"/>
          <w:numId w:val="12"/>
        </w:numPr>
        <w:jc w:val="both"/>
        <w:rPr>
          <w:rFonts w:cs="Arial"/>
        </w:rPr>
      </w:pPr>
      <w:r>
        <w:t>On whether the AO 25 Secretariat staff can address PBB-related questions, the Secretariat got an average response rate of 4.11.  Meanwhile</w:t>
      </w:r>
      <w:r w:rsidR="00FC7F72">
        <w:t>, for same question,</w:t>
      </w:r>
      <w:r>
        <w:t xml:space="preserve"> CHED got 3.93 and DBM ROs got 3.99.  </w:t>
      </w:r>
      <w:r w:rsidR="00FC7F72">
        <w:t xml:space="preserve">When asked if the staff were easy to contact, AO 25 got 4.13; CHED got 4.13 and DBM ROs got 4.19.  </w:t>
      </w:r>
    </w:p>
    <w:p w:rsidR="00034D85" w:rsidRDefault="00034D85" w:rsidP="00034D85">
      <w:pPr>
        <w:pStyle w:val="ListParagraph"/>
      </w:pPr>
    </w:p>
    <w:p w:rsidR="000C7A86" w:rsidRPr="000C7A86" w:rsidRDefault="00034D85" w:rsidP="000C7A86">
      <w:pPr>
        <w:pStyle w:val="ListParagraph"/>
        <w:numPr>
          <w:ilvl w:val="0"/>
          <w:numId w:val="12"/>
        </w:numPr>
        <w:jc w:val="both"/>
        <w:rPr>
          <w:rFonts w:cs="Arial"/>
        </w:rPr>
      </w:pPr>
      <w:r>
        <w:t xml:space="preserve"> Also during the workshop, participants were asked to gr</w:t>
      </w:r>
      <w:r w:rsidR="000C7A86">
        <w:t xml:space="preserve">oup themselves and discuss what </w:t>
      </w:r>
      <w:r>
        <w:t>positive changes/experiences</w:t>
      </w:r>
      <w:r w:rsidR="000C7A86">
        <w:t xml:space="preserve"> in their respective organizations, which could be attributed from the </w:t>
      </w:r>
      <w:r>
        <w:t>PBB implementation</w:t>
      </w:r>
      <w:r w:rsidR="000C7A86">
        <w:t>.  They were also</w:t>
      </w:r>
      <w:r>
        <w:t xml:space="preserve"> asked to suggest areas for improvement for the PBB</w:t>
      </w:r>
      <w:r w:rsidR="000C7A86">
        <w:t xml:space="preserve">.  </w:t>
      </w:r>
    </w:p>
    <w:p w:rsidR="000C7A86" w:rsidRDefault="000C7A86" w:rsidP="000C7A86">
      <w:pPr>
        <w:pStyle w:val="ListParagraph"/>
      </w:pPr>
    </w:p>
    <w:p w:rsidR="00C41DDD" w:rsidRPr="000C7A86" w:rsidRDefault="000C7A86" w:rsidP="000C7A86">
      <w:pPr>
        <w:pStyle w:val="ListParagraph"/>
        <w:numPr>
          <w:ilvl w:val="0"/>
          <w:numId w:val="12"/>
        </w:numPr>
        <w:jc w:val="both"/>
        <w:rPr>
          <w:rFonts w:cs="Arial"/>
        </w:rPr>
      </w:pPr>
      <w:r>
        <w:t xml:space="preserve">Among the positive changes/experiences, which they attributed to the PBB were as follows: </w:t>
      </w:r>
    </w:p>
    <w:p w:rsidR="00C41DDD" w:rsidRPr="00C41DDD" w:rsidRDefault="00C41DDD" w:rsidP="008D0A27">
      <w:pPr>
        <w:pStyle w:val="ListParagraph"/>
        <w:numPr>
          <w:ilvl w:val="2"/>
          <w:numId w:val="13"/>
        </w:numPr>
        <w:jc w:val="both"/>
        <w:rPr>
          <w:rFonts w:cs="Arial"/>
        </w:rPr>
      </w:pPr>
      <w:r w:rsidRPr="00C41DDD">
        <w:rPr>
          <w:rFonts w:cs="Arial"/>
        </w:rPr>
        <w:t>The PBB helped in the implementation of SPMS</w:t>
      </w:r>
    </w:p>
    <w:p w:rsidR="00C41DDD" w:rsidRPr="00C41DDD" w:rsidRDefault="00C41DDD" w:rsidP="008D0A27">
      <w:pPr>
        <w:pStyle w:val="ListParagraph"/>
        <w:numPr>
          <w:ilvl w:val="2"/>
          <w:numId w:val="13"/>
        </w:numPr>
        <w:jc w:val="both"/>
        <w:rPr>
          <w:rFonts w:cs="Arial"/>
        </w:rPr>
      </w:pPr>
      <w:r w:rsidRPr="00C41DDD">
        <w:rPr>
          <w:rFonts w:cs="Arial"/>
        </w:rPr>
        <w:t xml:space="preserve">There are SUCs that have PBB focal persons per campus </w:t>
      </w:r>
    </w:p>
    <w:p w:rsidR="00C41DDD" w:rsidRPr="00C41DDD" w:rsidRDefault="00C41DDD" w:rsidP="008D0A27">
      <w:pPr>
        <w:pStyle w:val="ListParagraph"/>
        <w:numPr>
          <w:ilvl w:val="2"/>
          <w:numId w:val="13"/>
        </w:numPr>
        <w:jc w:val="both"/>
        <w:rPr>
          <w:rFonts w:cs="Arial"/>
        </w:rPr>
      </w:pPr>
      <w:r w:rsidRPr="00C41DDD">
        <w:rPr>
          <w:rFonts w:cs="Arial"/>
        </w:rPr>
        <w:t xml:space="preserve">They have better MFOs and Indicators </w:t>
      </w:r>
    </w:p>
    <w:p w:rsidR="00C41DDD" w:rsidRPr="00C41DDD" w:rsidRDefault="00C41DDD" w:rsidP="008D0A27">
      <w:pPr>
        <w:pStyle w:val="ListParagraph"/>
        <w:numPr>
          <w:ilvl w:val="2"/>
          <w:numId w:val="13"/>
        </w:numPr>
        <w:jc w:val="both"/>
        <w:rPr>
          <w:rFonts w:cs="Arial"/>
        </w:rPr>
      </w:pPr>
      <w:r w:rsidRPr="00C41DDD">
        <w:rPr>
          <w:rFonts w:cs="Arial"/>
        </w:rPr>
        <w:t xml:space="preserve">Better planning and high compliance to the guidelines </w:t>
      </w:r>
    </w:p>
    <w:p w:rsidR="00C41DDD" w:rsidRPr="00C41DDD" w:rsidRDefault="00C41DDD" w:rsidP="008D0A27">
      <w:pPr>
        <w:pStyle w:val="ListParagraph"/>
        <w:numPr>
          <w:ilvl w:val="2"/>
          <w:numId w:val="13"/>
        </w:numPr>
        <w:jc w:val="both"/>
        <w:rPr>
          <w:rFonts w:cs="Arial"/>
        </w:rPr>
      </w:pPr>
      <w:r w:rsidRPr="00C41DDD">
        <w:rPr>
          <w:rFonts w:cs="Arial"/>
        </w:rPr>
        <w:t>Delivery units are more aware of the their targets</w:t>
      </w:r>
    </w:p>
    <w:p w:rsidR="00C41DDD" w:rsidRPr="00C41DDD" w:rsidRDefault="00C41DDD" w:rsidP="008D0A27">
      <w:pPr>
        <w:pStyle w:val="ListParagraph"/>
        <w:numPr>
          <w:ilvl w:val="2"/>
          <w:numId w:val="13"/>
        </w:numPr>
        <w:jc w:val="both"/>
        <w:rPr>
          <w:rFonts w:cs="Arial"/>
        </w:rPr>
      </w:pPr>
      <w:r w:rsidRPr="00C41DDD">
        <w:rPr>
          <w:rFonts w:cs="Arial"/>
        </w:rPr>
        <w:t>Monetary incentives changed the behavior of SUCs on the way they perform</w:t>
      </w:r>
    </w:p>
    <w:p w:rsidR="00C41DDD" w:rsidRPr="00C41DDD" w:rsidRDefault="00C41DDD" w:rsidP="008D0A27">
      <w:pPr>
        <w:pStyle w:val="ListParagraph"/>
        <w:numPr>
          <w:ilvl w:val="2"/>
          <w:numId w:val="13"/>
        </w:numPr>
        <w:jc w:val="both"/>
        <w:rPr>
          <w:rFonts w:cs="Arial"/>
        </w:rPr>
      </w:pPr>
      <w:r w:rsidRPr="00C41DDD">
        <w:rPr>
          <w:rFonts w:cs="Arial"/>
        </w:rPr>
        <w:t>SUCs became more performance-oriented</w:t>
      </w:r>
    </w:p>
    <w:p w:rsidR="00C41DDD" w:rsidRDefault="00C41DDD" w:rsidP="008D0A27">
      <w:pPr>
        <w:pStyle w:val="ListParagraph"/>
        <w:numPr>
          <w:ilvl w:val="2"/>
          <w:numId w:val="13"/>
        </w:numPr>
        <w:spacing w:after="0"/>
        <w:contextualSpacing w:val="0"/>
        <w:jc w:val="both"/>
        <w:rPr>
          <w:rFonts w:cs="Arial"/>
        </w:rPr>
      </w:pPr>
      <w:r w:rsidRPr="00C41DDD">
        <w:rPr>
          <w:rFonts w:cs="Arial"/>
        </w:rPr>
        <w:t>Established greater intra-delivery unit accountability</w:t>
      </w:r>
    </w:p>
    <w:p w:rsidR="00D74CB4" w:rsidRPr="00D74CB4" w:rsidRDefault="00D74CB4" w:rsidP="00AF1A5E">
      <w:pPr>
        <w:spacing w:after="0"/>
        <w:ind w:left="1440"/>
        <w:jc w:val="both"/>
        <w:rPr>
          <w:rFonts w:cs="Arial"/>
        </w:rPr>
      </w:pPr>
    </w:p>
    <w:p w:rsidR="00F72932" w:rsidRPr="00816640" w:rsidRDefault="00816640" w:rsidP="00816640">
      <w:pPr>
        <w:pStyle w:val="ListParagraph"/>
        <w:numPr>
          <w:ilvl w:val="0"/>
          <w:numId w:val="13"/>
        </w:numPr>
        <w:spacing w:after="0"/>
        <w:ind w:left="720"/>
        <w:jc w:val="both"/>
        <w:rPr>
          <w:b/>
          <w:i/>
        </w:rPr>
      </w:pPr>
      <w:r>
        <w:rPr>
          <w:rFonts w:cs="Arial"/>
        </w:rPr>
        <w:t>Meanwhile for the areas of improvement, one of the suggestions from the SUCs was to</w:t>
      </w:r>
      <w:r w:rsidRPr="00816640">
        <w:rPr>
          <w:rFonts w:cs="Arial"/>
          <w:u w:val="single"/>
        </w:rPr>
        <w:t xml:space="preserve"> increase the </w:t>
      </w:r>
      <w:r w:rsidR="00F45C8A" w:rsidRPr="00F45C8A">
        <w:rPr>
          <w:rFonts w:cs="Arial"/>
          <w:u w:val="single"/>
        </w:rPr>
        <w:t>distribution of “better” and “best” among the delivery units and individuals</w:t>
      </w:r>
      <w:r>
        <w:rPr>
          <w:rFonts w:cs="Arial"/>
          <w:u w:val="single"/>
        </w:rPr>
        <w:t xml:space="preserve"> </w:t>
      </w:r>
      <w:r w:rsidR="00F72932" w:rsidRPr="00816640">
        <w:rPr>
          <w:rFonts w:cs="Arial"/>
          <w:u w:val="single"/>
        </w:rPr>
        <w:t>to 50% of the total employees who are eligible for the grant of the PBB.</w:t>
      </w:r>
      <w:r w:rsidR="00F72932" w:rsidRPr="00816640">
        <w:rPr>
          <w:rFonts w:cs="Arial"/>
        </w:rPr>
        <w:t xml:space="preserve">  </w:t>
      </w:r>
    </w:p>
    <w:p w:rsidR="00F72932" w:rsidRPr="00F72932" w:rsidRDefault="00F72932" w:rsidP="00F72932">
      <w:pPr>
        <w:pStyle w:val="ListParagraph"/>
        <w:ind w:left="1080"/>
        <w:rPr>
          <w:rFonts w:cs="Arial"/>
        </w:rPr>
      </w:pPr>
    </w:p>
    <w:p w:rsidR="00F72932" w:rsidRDefault="00816640" w:rsidP="001E7CBA">
      <w:pPr>
        <w:pStyle w:val="ListParagraph"/>
        <w:numPr>
          <w:ilvl w:val="0"/>
          <w:numId w:val="13"/>
        </w:numPr>
        <w:ind w:left="720"/>
        <w:rPr>
          <w:rFonts w:cs="Arial"/>
        </w:rPr>
      </w:pPr>
      <w:r>
        <w:rPr>
          <w:rFonts w:cs="Arial"/>
        </w:rPr>
        <w:lastRenderedPageBreak/>
        <w:t xml:space="preserve">Along this line, </w:t>
      </w:r>
      <w:r w:rsidR="00F72932" w:rsidRPr="00F72932">
        <w:rPr>
          <w:rFonts w:cs="Arial"/>
        </w:rPr>
        <w:t xml:space="preserve">Usec. Moya proposed to commission </w:t>
      </w:r>
      <w:r w:rsidR="001E7CBA">
        <w:rPr>
          <w:rFonts w:cs="Arial"/>
        </w:rPr>
        <w:t>a study on the</w:t>
      </w:r>
      <w:r w:rsidR="00F72932" w:rsidRPr="00F72932">
        <w:rPr>
          <w:rFonts w:cs="Arial"/>
        </w:rPr>
        <w:t xml:space="preserve"> improvements needed to amend EO 80 to allow modifications and improvement of the rating and ranking distribution scheme.   </w:t>
      </w:r>
    </w:p>
    <w:p w:rsidR="00F72932" w:rsidRPr="00F72932" w:rsidRDefault="00F72932" w:rsidP="001E7CBA">
      <w:pPr>
        <w:pStyle w:val="ListParagraph"/>
        <w:rPr>
          <w:rFonts w:cs="Arial"/>
        </w:rPr>
      </w:pPr>
    </w:p>
    <w:p w:rsidR="00F72932" w:rsidRPr="00F72932" w:rsidRDefault="00F72932" w:rsidP="001E7CBA">
      <w:pPr>
        <w:pStyle w:val="ListParagraph"/>
        <w:numPr>
          <w:ilvl w:val="0"/>
          <w:numId w:val="13"/>
        </w:numPr>
        <w:spacing w:after="0" w:line="240" w:lineRule="auto"/>
        <w:ind w:left="720"/>
        <w:jc w:val="both"/>
        <w:rPr>
          <w:b/>
          <w:i/>
        </w:rPr>
      </w:pPr>
      <w:r w:rsidRPr="00A61FAB">
        <w:rPr>
          <w:rFonts w:cs="Arial"/>
        </w:rPr>
        <w:t xml:space="preserve">SVP Mendoza mentioned that the World Bank conducted a study on the pay scale in the Philippine Civil Service and one particular aspect they examined is the PBB.  World Bank gave some recommendations, which might be used in improving the rating and ranking scheme of the PBB in the future cycles.  Meanwhile, SVP Mendoza proposed to allow the AO 25 Secretariat consolidate first all the suggestions and reactions received on how to simplify the rating and ranking process and have them presented to the TWG. </w:t>
      </w:r>
      <w:r>
        <w:rPr>
          <w:rFonts w:cs="Arial"/>
          <w:u w:val="single"/>
        </w:rPr>
        <w:t xml:space="preserve"> </w:t>
      </w:r>
    </w:p>
    <w:p w:rsidR="00F72932" w:rsidRPr="00F72932" w:rsidRDefault="00F72932" w:rsidP="001E7CBA">
      <w:pPr>
        <w:pStyle w:val="ListParagraph"/>
        <w:rPr>
          <w:b/>
          <w:i/>
        </w:rPr>
      </w:pPr>
    </w:p>
    <w:p w:rsidR="00F72932" w:rsidRPr="001E7CBA" w:rsidRDefault="00F72932" w:rsidP="001E7CBA">
      <w:pPr>
        <w:pStyle w:val="ListParagraph"/>
        <w:numPr>
          <w:ilvl w:val="0"/>
          <w:numId w:val="13"/>
        </w:numPr>
        <w:ind w:left="720"/>
        <w:rPr>
          <w:rFonts w:cs="Arial"/>
        </w:rPr>
      </w:pPr>
      <w:r w:rsidRPr="00F72932">
        <w:rPr>
          <w:rFonts w:cs="Arial"/>
        </w:rPr>
        <w:t>Usec. Moya pointed out two things insofar as the rating a</w:t>
      </w:r>
      <w:r w:rsidR="001E7CBA">
        <w:rPr>
          <w:rFonts w:cs="Arial"/>
        </w:rPr>
        <w:t>nd ranking process is concerned.  First, m</w:t>
      </w:r>
      <w:r w:rsidRPr="001E7CBA">
        <w:rPr>
          <w:rFonts w:cs="Arial"/>
        </w:rPr>
        <w:t>odifications should be finalized by 2017 cy</w:t>
      </w:r>
      <w:r w:rsidR="001E7CBA">
        <w:rPr>
          <w:rFonts w:cs="Arial"/>
        </w:rPr>
        <w:t>cle as this is covered by a law.  Second, t</w:t>
      </w:r>
      <w:r w:rsidRPr="001E7CBA">
        <w:rPr>
          <w:rFonts w:cs="Arial"/>
        </w:rPr>
        <w:t>here should be a constant coordination with OPCCB (Asec. Myrna Chua)</w:t>
      </w:r>
      <w:r w:rsidR="001E7CBA">
        <w:rPr>
          <w:rFonts w:cs="Arial"/>
        </w:rPr>
        <w:t xml:space="preserve"> because a</w:t>
      </w:r>
      <w:r w:rsidRPr="001E7CBA">
        <w:rPr>
          <w:rFonts w:cs="Arial"/>
        </w:rPr>
        <w:t xml:space="preserve"> new compensation scheme might take into effect and as the salary of the employees increases under the new pay scheme (SSL), the variable component on performance also increases.</w:t>
      </w:r>
    </w:p>
    <w:p w:rsidR="00F72932" w:rsidRPr="00F72932" w:rsidRDefault="00F72932" w:rsidP="00F72932">
      <w:pPr>
        <w:pStyle w:val="ListParagraph"/>
        <w:spacing w:after="0" w:line="240" w:lineRule="auto"/>
        <w:ind w:left="1800"/>
        <w:jc w:val="both"/>
        <w:rPr>
          <w:b/>
          <w:i/>
        </w:rPr>
      </w:pPr>
    </w:p>
    <w:p w:rsidR="00D84456" w:rsidRPr="00D84456" w:rsidRDefault="00F72932" w:rsidP="00D84456">
      <w:pPr>
        <w:pStyle w:val="ListParagraph"/>
        <w:numPr>
          <w:ilvl w:val="0"/>
          <w:numId w:val="31"/>
        </w:numPr>
        <w:spacing w:after="0" w:line="240" w:lineRule="auto"/>
        <w:ind w:left="720"/>
        <w:jc w:val="both"/>
        <w:rPr>
          <w:b/>
          <w:i/>
        </w:rPr>
      </w:pPr>
      <w:r w:rsidRPr="00F72932">
        <w:rPr>
          <w:rFonts w:cs="Arial"/>
        </w:rPr>
        <w:t>For the first point, SVP Mendoza volunteered that a minute modification may already be made on the rating and ranking by 2016.</w:t>
      </w:r>
    </w:p>
    <w:p w:rsidR="00D84456" w:rsidRPr="00D84456" w:rsidRDefault="00D84456" w:rsidP="00D84456">
      <w:pPr>
        <w:pStyle w:val="ListParagraph"/>
        <w:spacing w:after="0" w:line="240" w:lineRule="auto"/>
        <w:jc w:val="both"/>
        <w:rPr>
          <w:b/>
          <w:i/>
        </w:rPr>
      </w:pPr>
      <w:r>
        <w:rPr>
          <w:rFonts w:cs="Arial"/>
        </w:rPr>
        <w:t xml:space="preserve"> </w:t>
      </w:r>
    </w:p>
    <w:p w:rsidR="00F72932" w:rsidRPr="00BA79C3" w:rsidRDefault="00D84456" w:rsidP="00BA79C3">
      <w:pPr>
        <w:pStyle w:val="ListParagraph"/>
        <w:numPr>
          <w:ilvl w:val="0"/>
          <w:numId w:val="31"/>
        </w:numPr>
        <w:spacing w:after="0" w:line="240" w:lineRule="auto"/>
        <w:ind w:left="720"/>
        <w:jc w:val="both"/>
        <w:rPr>
          <w:b/>
          <w:i/>
        </w:rPr>
      </w:pPr>
      <w:r w:rsidRPr="00D84456">
        <w:rPr>
          <w:rFonts w:cs="Arial"/>
        </w:rPr>
        <w:t xml:space="preserve">Another area for improvement suggested was the </w:t>
      </w:r>
      <w:r>
        <w:rPr>
          <w:rFonts w:cs="Arial"/>
          <w:u w:val="single"/>
        </w:rPr>
        <w:t>e</w:t>
      </w:r>
      <w:r w:rsidR="00F72932" w:rsidRPr="00D84456">
        <w:rPr>
          <w:rFonts w:cs="Arial"/>
          <w:u w:val="single"/>
        </w:rPr>
        <w:t>arly issuance of th</w:t>
      </w:r>
      <w:r w:rsidR="00BA79C3">
        <w:rPr>
          <w:rFonts w:cs="Arial"/>
          <w:u w:val="single"/>
        </w:rPr>
        <w:t>e guidelines/memorandum circular.</w:t>
      </w:r>
    </w:p>
    <w:p w:rsidR="00BA79C3" w:rsidRPr="00BA79C3" w:rsidRDefault="00BA79C3" w:rsidP="00BA79C3">
      <w:pPr>
        <w:pStyle w:val="ListParagraph"/>
        <w:rPr>
          <w:b/>
          <w:i/>
        </w:rPr>
      </w:pPr>
    </w:p>
    <w:p w:rsidR="007804BA" w:rsidRPr="007804BA" w:rsidRDefault="00BA79C3" w:rsidP="00BA79C3">
      <w:pPr>
        <w:pStyle w:val="ListParagraph"/>
        <w:numPr>
          <w:ilvl w:val="0"/>
          <w:numId w:val="31"/>
        </w:numPr>
        <w:spacing w:after="0" w:line="240" w:lineRule="auto"/>
        <w:ind w:left="720"/>
        <w:jc w:val="both"/>
        <w:rPr>
          <w:b/>
        </w:rPr>
      </w:pPr>
      <w:r w:rsidRPr="00BA79C3">
        <w:rPr>
          <w:rFonts w:cs="Arial"/>
        </w:rPr>
        <w:t xml:space="preserve">SUCs were also requesting for </w:t>
      </w:r>
      <w:r w:rsidR="00F72932" w:rsidRPr="00BA79C3">
        <w:rPr>
          <w:rFonts w:cs="Arial"/>
          <w:u w:val="single"/>
        </w:rPr>
        <w:t xml:space="preserve">assistance in </w:t>
      </w:r>
      <w:r>
        <w:rPr>
          <w:rFonts w:cs="Arial"/>
          <w:u w:val="single"/>
        </w:rPr>
        <w:t>order to meet</w:t>
      </w:r>
      <w:r w:rsidR="00F72932" w:rsidRPr="00BA79C3">
        <w:rPr>
          <w:rFonts w:cs="Arial"/>
          <w:u w:val="single"/>
        </w:rPr>
        <w:t xml:space="preserve"> their performance indicators</w:t>
      </w:r>
      <w:r>
        <w:rPr>
          <w:rFonts w:cs="Arial"/>
          <w:u w:val="single"/>
        </w:rPr>
        <w:t>.</w:t>
      </w:r>
      <w:r w:rsidR="00F72932" w:rsidRPr="00BA79C3">
        <w:rPr>
          <w:rFonts w:cs="Arial"/>
        </w:rPr>
        <w:t xml:space="preserve"> </w:t>
      </w:r>
      <w:r>
        <w:rPr>
          <w:rFonts w:cs="Arial"/>
        </w:rPr>
        <w:t xml:space="preserve"> </w:t>
      </w:r>
    </w:p>
    <w:p w:rsidR="00F72932" w:rsidRPr="007804BA" w:rsidRDefault="00BA79C3" w:rsidP="007804BA">
      <w:pPr>
        <w:spacing w:after="0" w:line="240" w:lineRule="auto"/>
        <w:ind w:left="720"/>
        <w:jc w:val="both"/>
        <w:rPr>
          <w:b/>
        </w:rPr>
      </w:pPr>
      <w:r w:rsidRPr="007804BA">
        <w:rPr>
          <w:rFonts w:cs="Arial"/>
        </w:rPr>
        <w:t xml:space="preserve">Ms. Ablan mentioned that it seemed that SUCs had a hard time </w:t>
      </w:r>
      <w:r w:rsidR="00F72932" w:rsidRPr="007804BA">
        <w:rPr>
          <w:rFonts w:cs="Arial"/>
        </w:rPr>
        <w:t xml:space="preserve">computing for the rate of accomplishments </w:t>
      </w:r>
    </w:p>
    <w:p w:rsidR="00BA79C3" w:rsidRPr="00BA79C3" w:rsidRDefault="00BA79C3" w:rsidP="00BA79C3">
      <w:pPr>
        <w:pStyle w:val="ListParagraph"/>
        <w:rPr>
          <w:b/>
        </w:rPr>
      </w:pPr>
    </w:p>
    <w:p w:rsidR="009D0427" w:rsidRDefault="00BA79C3" w:rsidP="009D0427">
      <w:pPr>
        <w:pStyle w:val="ListParagraph"/>
        <w:numPr>
          <w:ilvl w:val="0"/>
          <w:numId w:val="31"/>
        </w:numPr>
        <w:spacing w:after="0" w:line="240" w:lineRule="auto"/>
        <w:ind w:left="720"/>
        <w:jc w:val="both"/>
        <w:rPr>
          <w:rFonts w:cs="Arial"/>
        </w:rPr>
      </w:pPr>
      <w:r w:rsidRPr="00BA79C3">
        <w:t xml:space="preserve">SUCs </w:t>
      </w:r>
      <w:r>
        <w:t xml:space="preserve">were also </w:t>
      </w:r>
      <w:r w:rsidR="009D0427">
        <w:t xml:space="preserve">requesting to </w:t>
      </w:r>
      <w:r w:rsidR="009D0427">
        <w:rPr>
          <w:rFonts w:cs="Arial"/>
        </w:rPr>
        <w:t xml:space="preserve">still </w:t>
      </w:r>
      <w:r w:rsidR="009D0427" w:rsidRPr="009D0427">
        <w:rPr>
          <w:rFonts w:cs="Arial"/>
          <w:u w:val="single"/>
        </w:rPr>
        <w:t>allow them</w:t>
      </w:r>
      <w:r w:rsidR="00223C95">
        <w:rPr>
          <w:rFonts w:cs="Arial"/>
          <w:u w:val="single"/>
        </w:rPr>
        <w:t xml:space="preserve"> to</w:t>
      </w:r>
      <w:r w:rsidR="00F72932" w:rsidRPr="009D0427">
        <w:rPr>
          <w:rFonts w:cs="Arial"/>
          <w:u w:val="single"/>
        </w:rPr>
        <w:t xml:space="preserve"> negotiate the</w:t>
      </w:r>
      <w:r w:rsidR="00DD1BDD">
        <w:rPr>
          <w:rFonts w:cs="Arial"/>
          <w:u w:val="single"/>
        </w:rPr>
        <w:t>ir</w:t>
      </w:r>
      <w:r w:rsidR="00F72932" w:rsidRPr="009D0427">
        <w:rPr>
          <w:rFonts w:cs="Arial"/>
          <w:u w:val="single"/>
        </w:rPr>
        <w:t xml:space="preserve"> targets and indicators, which are already reflected in the GAA</w:t>
      </w:r>
      <w:r w:rsidR="00F72932" w:rsidRPr="00F72932">
        <w:rPr>
          <w:rFonts w:cs="Arial"/>
        </w:rPr>
        <w:t xml:space="preserve"> because they fear that what they committed in the GAA may not be attainable.  </w:t>
      </w:r>
    </w:p>
    <w:p w:rsidR="009D0427" w:rsidRPr="009D0427" w:rsidRDefault="009D0427" w:rsidP="009D0427">
      <w:pPr>
        <w:pStyle w:val="ListParagraph"/>
        <w:rPr>
          <w:rFonts w:cs="Arial"/>
        </w:rPr>
      </w:pPr>
    </w:p>
    <w:p w:rsidR="009D0427" w:rsidRDefault="00F72932" w:rsidP="009D0427">
      <w:pPr>
        <w:pStyle w:val="ListParagraph"/>
        <w:numPr>
          <w:ilvl w:val="0"/>
          <w:numId w:val="31"/>
        </w:numPr>
        <w:spacing w:after="0" w:line="240" w:lineRule="auto"/>
        <w:ind w:left="720"/>
        <w:jc w:val="both"/>
        <w:rPr>
          <w:rFonts w:cs="Arial"/>
        </w:rPr>
      </w:pPr>
      <w:r w:rsidRPr="009D0427">
        <w:rPr>
          <w:rFonts w:cs="Arial"/>
        </w:rPr>
        <w:t>In view of this</w:t>
      </w:r>
      <w:r w:rsidR="000C12D2" w:rsidRPr="009D0427">
        <w:rPr>
          <w:rFonts w:cs="Arial"/>
        </w:rPr>
        <w:t xml:space="preserve"> and the preceding issue</w:t>
      </w:r>
      <w:r w:rsidRPr="009D0427">
        <w:rPr>
          <w:rFonts w:cs="Arial"/>
        </w:rPr>
        <w:t>, Usec. Moya recommended for the SUCs to meet with BMB-B and CHED to discuss with them and/or negotiate their GAA indicators and targets.   Whatever the recommendations of BMB-B and CHED would be will be discussed in the TWG meeting.  The key point to be decided by the TWG is whether they would keep whatever in the GAA as it is the policy or reconsider accepting the negotiated targets and indicators of the SUCs based on the unified recommendations of BMB-B and CHED.</w:t>
      </w:r>
    </w:p>
    <w:p w:rsidR="009D0427" w:rsidRPr="009D0427" w:rsidRDefault="009D0427" w:rsidP="009D0427">
      <w:pPr>
        <w:pStyle w:val="ListParagraph"/>
        <w:rPr>
          <w:rFonts w:cs="Arial"/>
          <w:u w:val="single"/>
        </w:rPr>
      </w:pPr>
    </w:p>
    <w:p w:rsidR="00BD1C60" w:rsidRDefault="009D0427" w:rsidP="00BD1C60">
      <w:pPr>
        <w:pStyle w:val="ListParagraph"/>
        <w:numPr>
          <w:ilvl w:val="0"/>
          <w:numId w:val="31"/>
        </w:numPr>
        <w:spacing w:after="0" w:line="240" w:lineRule="auto"/>
        <w:ind w:left="720"/>
        <w:jc w:val="both"/>
        <w:rPr>
          <w:rFonts w:cs="Arial"/>
        </w:rPr>
      </w:pPr>
      <w:r w:rsidRPr="009D0427">
        <w:rPr>
          <w:rFonts w:cs="Arial"/>
        </w:rPr>
        <w:t>There was also a suggestion to</w:t>
      </w:r>
      <w:r>
        <w:rPr>
          <w:rFonts w:cs="Arial"/>
          <w:u w:val="single"/>
        </w:rPr>
        <w:t xml:space="preserve"> g</w:t>
      </w:r>
      <w:r w:rsidR="00F72932" w:rsidRPr="009D0427">
        <w:rPr>
          <w:rFonts w:cs="Arial"/>
          <w:u w:val="single"/>
        </w:rPr>
        <w:t>ive the agencies early feedback on the results of their validation</w:t>
      </w:r>
      <w:r w:rsidR="00BD1C60">
        <w:rPr>
          <w:rFonts w:cs="Arial"/>
        </w:rPr>
        <w:t xml:space="preserve">.  With regard to this, Usec. Moya instructed the Secretariat to give the agencies a copy of the results of the validation.  And while he acknowledged that the Secretariat was actually providing the agencies with the results of the validation thru letter, Usec. Moya also suggested that the best possible means to provide the validation results was by posting the results on the RBPMS website.   </w:t>
      </w:r>
    </w:p>
    <w:p w:rsidR="00BD1C60" w:rsidRPr="00BD1C60" w:rsidRDefault="00BD1C60" w:rsidP="00BD1C60">
      <w:pPr>
        <w:pStyle w:val="ListParagraph"/>
        <w:rPr>
          <w:rFonts w:cs="Arial"/>
          <w:u w:val="single"/>
        </w:rPr>
      </w:pPr>
    </w:p>
    <w:p w:rsidR="008C0861" w:rsidRPr="008C0861" w:rsidRDefault="00BD1C60" w:rsidP="008C0861">
      <w:pPr>
        <w:pStyle w:val="ListParagraph"/>
        <w:numPr>
          <w:ilvl w:val="0"/>
          <w:numId w:val="31"/>
        </w:numPr>
        <w:spacing w:after="0" w:line="240" w:lineRule="auto"/>
        <w:ind w:left="720"/>
        <w:jc w:val="both"/>
        <w:rPr>
          <w:rFonts w:cs="Arial"/>
        </w:rPr>
      </w:pPr>
      <w:r w:rsidRPr="00BD1C60">
        <w:rPr>
          <w:rFonts w:cs="Arial"/>
        </w:rPr>
        <w:t>Ms. Ablan continued</w:t>
      </w:r>
      <w:r w:rsidR="008C0861">
        <w:rPr>
          <w:rFonts w:cs="Arial"/>
        </w:rPr>
        <w:t xml:space="preserve">, citing that one of improvements suggested was the </w:t>
      </w:r>
      <w:r w:rsidR="008C0861">
        <w:rPr>
          <w:rFonts w:cs="Arial"/>
          <w:u w:val="single"/>
        </w:rPr>
        <w:t>s</w:t>
      </w:r>
      <w:r w:rsidR="00F72932" w:rsidRPr="00BD1C60">
        <w:rPr>
          <w:rFonts w:cs="Arial"/>
          <w:u w:val="single"/>
        </w:rPr>
        <w:t>tandardiz</w:t>
      </w:r>
      <w:r w:rsidR="008C0861">
        <w:rPr>
          <w:rFonts w:cs="Arial"/>
          <w:u w:val="single"/>
        </w:rPr>
        <w:t>ation</w:t>
      </w:r>
      <w:r w:rsidR="00F72932" w:rsidRPr="00BD1C60">
        <w:rPr>
          <w:rFonts w:cs="Arial"/>
          <w:u w:val="single"/>
        </w:rPr>
        <w:t xml:space="preserve"> </w:t>
      </w:r>
      <w:r w:rsidR="008C0861">
        <w:rPr>
          <w:rFonts w:cs="Arial"/>
          <w:u w:val="single"/>
        </w:rPr>
        <w:t xml:space="preserve">of </w:t>
      </w:r>
      <w:r w:rsidR="00F72932" w:rsidRPr="00BD1C60">
        <w:rPr>
          <w:rFonts w:cs="Arial"/>
          <w:u w:val="single"/>
        </w:rPr>
        <w:t>the performance evaluation across individuals (</w:t>
      </w:r>
      <w:r w:rsidR="008C0861">
        <w:rPr>
          <w:rFonts w:cs="Arial"/>
          <w:u w:val="single"/>
        </w:rPr>
        <w:t>rating and ranking formula</w:t>
      </w:r>
      <w:r w:rsidR="00F72932" w:rsidRPr="00BD1C60">
        <w:rPr>
          <w:rFonts w:cs="Arial"/>
          <w:u w:val="single"/>
        </w:rPr>
        <w:t>)</w:t>
      </w:r>
      <w:r w:rsidR="008C0861" w:rsidRPr="008C0861">
        <w:rPr>
          <w:b/>
        </w:rPr>
        <w:t>.</w:t>
      </w:r>
      <w:r w:rsidR="008C0861">
        <w:rPr>
          <w:b/>
          <w:i/>
        </w:rPr>
        <w:t xml:space="preserve"> </w:t>
      </w:r>
      <w:r w:rsidR="00F72932" w:rsidRPr="00BD1C60">
        <w:rPr>
          <w:b/>
          <w:i/>
        </w:rPr>
        <w:t xml:space="preserve"> </w:t>
      </w:r>
    </w:p>
    <w:p w:rsidR="008C0861" w:rsidRPr="008C0861" w:rsidRDefault="008C0861" w:rsidP="008C0861">
      <w:pPr>
        <w:pStyle w:val="ListParagraph"/>
        <w:rPr>
          <w:rFonts w:cs="Arial"/>
        </w:rPr>
      </w:pPr>
    </w:p>
    <w:p w:rsidR="008C0861" w:rsidRDefault="00F72932" w:rsidP="008C0861">
      <w:pPr>
        <w:pStyle w:val="ListParagraph"/>
        <w:numPr>
          <w:ilvl w:val="0"/>
          <w:numId w:val="31"/>
        </w:numPr>
        <w:spacing w:after="0" w:line="240" w:lineRule="auto"/>
        <w:ind w:left="720"/>
        <w:jc w:val="both"/>
        <w:rPr>
          <w:rFonts w:cs="Arial"/>
        </w:rPr>
      </w:pPr>
      <w:r w:rsidRPr="008C0861">
        <w:rPr>
          <w:rFonts w:cs="Arial"/>
        </w:rPr>
        <w:lastRenderedPageBreak/>
        <w:t xml:space="preserve">SVP Mendoza </w:t>
      </w:r>
      <w:r w:rsidR="008C0861">
        <w:rPr>
          <w:rFonts w:cs="Arial"/>
        </w:rPr>
        <w:t xml:space="preserve">said that this was in relation to another suggestion, which was to </w:t>
      </w:r>
      <w:r w:rsidR="008C0861">
        <w:rPr>
          <w:rFonts w:cs="Arial"/>
          <w:u w:val="single"/>
        </w:rPr>
        <w:t>m</w:t>
      </w:r>
      <w:r w:rsidR="008C0861" w:rsidRPr="00A61FAB">
        <w:rPr>
          <w:rFonts w:cs="Arial"/>
          <w:u w:val="single"/>
        </w:rPr>
        <w:t>ake explicit in the guidelines the merging of PMT and PMG</w:t>
      </w:r>
      <w:r w:rsidR="008C0861" w:rsidRPr="008C0861">
        <w:rPr>
          <w:rFonts w:cs="Arial"/>
        </w:rPr>
        <w:t xml:space="preserve">.  </w:t>
      </w:r>
      <w:r w:rsidR="008C0861">
        <w:rPr>
          <w:rFonts w:cs="Arial"/>
        </w:rPr>
        <w:t xml:space="preserve">According to her, </w:t>
      </w:r>
      <w:r w:rsidRPr="008C0861">
        <w:rPr>
          <w:rFonts w:cs="Arial"/>
        </w:rPr>
        <w:t>there were SUCs whose PMGs or PMTs could not address certain issues pertaining to performance ev</w:t>
      </w:r>
      <w:r w:rsidR="009D3161">
        <w:rPr>
          <w:rFonts w:cs="Arial"/>
        </w:rPr>
        <w:t>aluation and rating and ranking. T</w:t>
      </w:r>
      <w:r w:rsidRPr="008C0861">
        <w:rPr>
          <w:rFonts w:cs="Arial"/>
        </w:rPr>
        <w:t xml:space="preserve">hus they prefer to have the restrictions and other criteria be explicitly specified in the guidelines so that they will just refer to the guidelines when making decisions.  </w:t>
      </w:r>
    </w:p>
    <w:p w:rsidR="008C0861" w:rsidRPr="008C0861" w:rsidRDefault="008C0861" w:rsidP="008C0861">
      <w:pPr>
        <w:pStyle w:val="ListParagraph"/>
        <w:rPr>
          <w:rFonts w:cs="Arial"/>
        </w:rPr>
      </w:pPr>
    </w:p>
    <w:p w:rsidR="00FB27FD" w:rsidRDefault="00F72932" w:rsidP="00FB27FD">
      <w:pPr>
        <w:pStyle w:val="ListParagraph"/>
        <w:numPr>
          <w:ilvl w:val="0"/>
          <w:numId w:val="31"/>
        </w:numPr>
        <w:spacing w:after="0" w:line="240" w:lineRule="auto"/>
        <w:ind w:left="720"/>
        <w:jc w:val="both"/>
        <w:rPr>
          <w:rFonts w:cs="Arial"/>
        </w:rPr>
      </w:pPr>
      <w:r w:rsidRPr="008C0861">
        <w:rPr>
          <w:rFonts w:cs="Arial"/>
        </w:rPr>
        <w:t xml:space="preserve">However, SVP Mendoza explained </w:t>
      </w:r>
      <w:r w:rsidR="00FB27FD">
        <w:rPr>
          <w:rFonts w:cs="Arial"/>
        </w:rPr>
        <w:t xml:space="preserve">to the SUCs </w:t>
      </w:r>
      <w:r w:rsidRPr="008C0861">
        <w:rPr>
          <w:rFonts w:cs="Arial"/>
        </w:rPr>
        <w:t xml:space="preserve">that it </w:t>
      </w:r>
      <w:r w:rsidR="00FB27FD">
        <w:rPr>
          <w:rFonts w:cs="Arial"/>
        </w:rPr>
        <w:t>wa</w:t>
      </w:r>
      <w:r w:rsidRPr="008C0861">
        <w:rPr>
          <w:rFonts w:cs="Arial"/>
        </w:rPr>
        <w:t>s not recommended to include all the rules and mechanisms in the guidelines as this would curtail the flexibility of the head of the agency in making decisions.</w:t>
      </w:r>
    </w:p>
    <w:p w:rsidR="00FB27FD" w:rsidRPr="00FB27FD" w:rsidRDefault="00FB27FD" w:rsidP="00FB27FD">
      <w:pPr>
        <w:pStyle w:val="ListParagraph"/>
        <w:rPr>
          <w:rFonts w:cs="Arial"/>
        </w:rPr>
      </w:pPr>
    </w:p>
    <w:p w:rsidR="00FB27FD" w:rsidRDefault="00F72932" w:rsidP="00FB27FD">
      <w:pPr>
        <w:pStyle w:val="ListParagraph"/>
        <w:numPr>
          <w:ilvl w:val="0"/>
          <w:numId w:val="31"/>
        </w:numPr>
        <w:spacing w:after="0" w:line="240" w:lineRule="auto"/>
        <w:ind w:left="720"/>
        <w:jc w:val="both"/>
        <w:rPr>
          <w:rFonts w:cs="Arial"/>
        </w:rPr>
      </w:pPr>
      <w:r w:rsidRPr="00FB27FD">
        <w:rPr>
          <w:rFonts w:cs="Arial"/>
        </w:rPr>
        <w:t>Usec. Moya remarked that in an open government, transparency breaches trust.  He noted that there is a trust issue within the management of the SUCs.  He added that it would be better to empower the bureaucracy by giv</w:t>
      </w:r>
      <w:r w:rsidR="005F5117">
        <w:rPr>
          <w:rFonts w:cs="Arial"/>
        </w:rPr>
        <w:t>ing them flexibility than have</w:t>
      </w:r>
      <w:r w:rsidRPr="00FB27FD">
        <w:rPr>
          <w:rFonts w:cs="Arial"/>
        </w:rPr>
        <w:t xml:space="preserve"> guidelines that </w:t>
      </w:r>
      <w:r w:rsidR="009D1EDC">
        <w:rPr>
          <w:rFonts w:cs="Arial"/>
        </w:rPr>
        <w:t xml:space="preserve">are </w:t>
      </w:r>
      <w:r w:rsidRPr="00FB27FD">
        <w:rPr>
          <w:rFonts w:cs="Arial"/>
        </w:rPr>
        <w:t>very restrictive but with so many exceptions.</w:t>
      </w:r>
      <w:r w:rsidR="00FB27FD">
        <w:rPr>
          <w:rFonts w:cs="Arial"/>
        </w:rPr>
        <w:t xml:space="preserve">  All that was needed was to empower the SUCs management.  </w:t>
      </w:r>
    </w:p>
    <w:p w:rsidR="00FB27FD" w:rsidRPr="00FB27FD" w:rsidRDefault="00FB27FD" w:rsidP="00FB27FD">
      <w:pPr>
        <w:pStyle w:val="ListParagraph"/>
        <w:rPr>
          <w:b/>
          <w:i/>
        </w:rPr>
      </w:pPr>
    </w:p>
    <w:p w:rsidR="00FB27FD" w:rsidRDefault="00FB27FD" w:rsidP="00FB27FD">
      <w:pPr>
        <w:pStyle w:val="ListParagraph"/>
        <w:numPr>
          <w:ilvl w:val="0"/>
          <w:numId w:val="31"/>
        </w:numPr>
        <w:spacing w:after="0" w:line="240" w:lineRule="auto"/>
        <w:ind w:left="720"/>
        <w:jc w:val="both"/>
        <w:rPr>
          <w:rFonts w:cs="Arial"/>
        </w:rPr>
      </w:pPr>
      <w:r w:rsidRPr="00FB27FD">
        <w:rPr>
          <w:rFonts w:cs="Arial"/>
        </w:rPr>
        <w:t>Per Usec. Moya, since the creation of a PMT is a requirement under the CSC policy for the establishment of SPMS, SUCs should instead write to the CSC.  On the part of the AO 25 TWG, similar i</w:t>
      </w:r>
      <w:r w:rsidR="00EA7545">
        <w:rPr>
          <w:rFonts w:cs="Arial"/>
        </w:rPr>
        <w:t>ssues can be relayed to the CSC,</w:t>
      </w:r>
      <w:r w:rsidRPr="00FB27FD">
        <w:rPr>
          <w:rFonts w:cs="Arial"/>
        </w:rPr>
        <w:t xml:space="preserve"> but ultimately the TWG would only defer to the decision of the oversight group.</w:t>
      </w:r>
    </w:p>
    <w:p w:rsidR="00FB27FD" w:rsidRPr="00FB27FD" w:rsidRDefault="00FB27FD" w:rsidP="00FB27FD">
      <w:pPr>
        <w:pStyle w:val="ListParagraph"/>
        <w:rPr>
          <w:rFonts w:cs="Arial"/>
        </w:rPr>
      </w:pPr>
    </w:p>
    <w:p w:rsidR="00FB27FD" w:rsidRDefault="00F72932" w:rsidP="00FB27FD">
      <w:pPr>
        <w:pStyle w:val="ListParagraph"/>
        <w:numPr>
          <w:ilvl w:val="0"/>
          <w:numId w:val="31"/>
        </w:numPr>
        <w:spacing w:after="0" w:line="240" w:lineRule="auto"/>
        <w:ind w:left="720"/>
        <w:jc w:val="both"/>
        <w:rPr>
          <w:rFonts w:cs="Arial"/>
        </w:rPr>
      </w:pPr>
      <w:r w:rsidRPr="00FB27FD">
        <w:rPr>
          <w:rFonts w:cs="Arial"/>
        </w:rPr>
        <w:t xml:space="preserve">Asec. Nuque commented that if the leadership of an SUC is hands-on, his/her logical guidance for the SUC is to merge the PMT and the PMG.  For </w:t>
      </w:r>
      <w:r w:rsidR="00452127">
        <w:rPr>
          <w:rFonts w:cs="Arial"/>
        </w:rPr>
        <w:t xml:space="preserve">an instance, in the case of OP; </w:t>
      </w:r>
      <w:r w:rsidRPr="00FB27FD">
        <w:rPr>
          <w:rFonts w:cs="Arial"/>
        </w:rPr>
        <w:t xml:space="preserve"> the guidance of the AO 25 to create a PMG</w:t>
      </w:r>
      <w:r w:rsidR="00452127">
        <w:rPr>
          <w:rFonts w:cs="Arial"/>
        </w:rPr>
        <w:t xml:space="preserve"> was followed</w:t>
      </w:r>
      <w:r w:rsidRPr="00FB27FD">
        <w:rPr>
          <w:rFonts w:cs="Arial"/>
        </w:rPr>
        <w:t xml:space="preserve">.  But upon the issuance of CSC’s guidelines on SPMS, OP established its PMT to function as a PMG as well.  In essence, the functions of the PMT as per the CSC guidelines were infused with the functions of the PMG as stated in the PBB guidelines.     </w:t>
      </w:r>
    </w:p>
    <w:p w:rsidR="00FB27FD" w:rsidRPr="00FB27FD" w:rsidRDefault="00FB27FD" w:rsidP="00FB27FD">
      <w:pPr>
        <w:pStyle w:val="ListParagraph"/>
        <w:rPr>
          <w:rFonts w:cs="Arial"/>
          <w:u w:val="single"/>
        </w:rPr>
      </w:pPr>
    </w:p>
    <w:p w:rsidR="00545F70" w:rsidRDefault="00FB27FD" w:rsidP="00545F70">
      <w:pPr>
        <w:pStyle w:val="ListParagraph"/>
        <w:numPr>
          <w:ilvl w:val="0"/>
          <w:numId w:val="31"/>
        </w:numPr>
        <w:spacing w:after="0" w:line="240" w:lineRule="auto"/>
        <w:ind w:left="720"/>
        <w:jc w:val="both"/>
        <w:rPr>
          <w:rFonts w:cs="Arial"/>
        </w:rPr>
      </w:pPr>
      <w:r w:rsidRPr="00FB27FD">
        <w:rPr>
          <w:rFonts w:cs="Arial"/>
        </w:rPr>
        <w:t>Ms. A</w:t>
      </w:r>
      <w:r w:rsidR="00545F70">
        <w:rPr>
          <w:rFonts w:cs="Arial"/>
        </w:rPr>
        <w:t>b</w:t>
      </w:r>
      <w:r w:rsidRPr="00FB27FD">
        <w:rPr>
          <w:rFonts w:cs="Arial"/>
        </w:rPr>
        <w:t xml:space="preserve">lan reported that the last comment was </w:t>
      </w:r>
      <w:r>
        <w:rPr>
          <w:rFonts w:cs="Arial"/>
          <w:u w:val="single"/>
        </w:rPr>
        <w:t>to make t</w:t>
      </w:r>
      <w:r w:rsidR="00F72932" w:rsidRPr="00FB27FD">
        <w:rPr>
          <w:rFonts w:cs="Arial"/>
          <w:u w:val="single"/>
        </w:rPr>
        <w:t>he amount of PBB higher than PEI</w:t>
      </w:r>
      <w:r w:rsidRPr="00FB27FD">
        <w:rPr>
          <w:rFonts w:cs="Arial"/>
        </w:rPr>
        <w:t>.</w:t>
      </w:r>
      <w:r>
        <w:rPr>
          <w:rFonts w:cs="Arial"/>
          <w:u w:val="single"/>
        </w:rPr>
        <w:t xml:space="preserve">  </w:t>
      </w:r>
      <w:r w:rsidR="00F72932" w:rsidRPr="00FB27FD">
        <w:rPr>
          <w:rFonts w:cs="Arial"/>
        </w:rPr>
        <w:t xml:space="preserve">Since it </w:t>
      </w:r>
      <w:r>
        <w:rPr>
          <w:rFonts w:cs="Arial"/>
        </w:rPr>
        <w:t>wa</w:t>
      </w:r>
      <w:r w:rsidR="00F72932" w:rsidRPr="00FB27FD">
        <w:rPr>
          <w:rFonts w:cs="Arial"/>
        </w:rPr>
        <w:t xml:space="preserve">s more difficult to comply with the requirements of PBB than with PEI’s, the amount of PBB should be higher than the amount of PEI.  </w:t>
      </w:r>
    </w:p>
    <w:p w:rsidR="00545F70" w:rsidRPr="00545F70" w:rsidRDefault="00545F70" w:rsidP="00545F70">
      <w:pPr>
        <w:pStyle w:val="ListParagraph"/>
        <w:rPr>
          <w:rFonts w:cs="Arial"/>
        </w:rPr>
      </w:pPr>
    </w:p>
    <w:p w:rsidR="00F72932" w:rsidRPr="00545F70" w:rsidRDefault="00F72932" w:rsidP="00545F70">
      <w:pPr>
        <w:pStyle w:val="ListParagraph"/>
        <w:numPr>
          <w:ilvl w:val="0"/>
          <w:numId w:val="31"/>
        </w:numPr>
        <w:spacing w:after="0" w:line="240" w:lineRule="auto"/>
        <w:ind w:left="720"/>
        <w:jc w:val="both"/>
        <w:rPr>
          <w:rFonts w:cs="Arial"/>
        </w:rPr>
      </w:pPr>
      <w:r w:rsidRPr="00545F70">
        <w:rPr>
          <w:rFonts w:cs="Arial"/>
        </w:rPr>
        <w:t>Usec. Moya agreed to the comment.  However, because the conditions for the amount of PBB should be within the provisions of EO 80, it is more convenient to make modifications and improvement on PEI.  In any case, the grant of PEI has made the burden of the AO 25 TWG a lot lighter for this year.  Since the amount of PEI is higher than the PBB, some of those who did not qualify for PBB but qualified</w:t>
      </w:r>
      <w:r w:rsidR="005B06CB">
        <w:rPr>
          <w:rFonts w:cs="Arial"/>
        </w:rPr>
        <w:t xml:space="preserve"> for PEI did not appeal anymore, </w:t>
      </w:r>
      <w:r w:rsidRPr="00545F70">
        <w:rPr>
          <w:rFonts w:cs="Arial"/>
        </w:rPr>
        <w:t>th</w:t>
      </w:r>
      <w:r w:rsidR="007F4188">
        <w:rPr>
          <w:rFonts w:cs="Arial"/>
        </w:rPr>
        <w:t>us</w:t>
      </w:r>
      <w:r w:rsidR="005B06CB">
        <w:rPr>
          <w:rFonts w:cs="Arial"/>
        </w:rPr>
        <w:t xml:space="preserve">, </w:t>
      </w:r>
      <w:r w:rsidR="007F4188">
        <w:rPr>
          <w:rFonts w:cs="Arial"/>
        </w:rPr>
        <w:t xml:space="preserve"> reducing the number of issues</w:t>
      </w:r>
      <w:r w:rsidRPr="00545F70">
        <w:rPr>
          <w:rFonts w:cs="Arial"/>
        </w:rPr>
        <w:t xml:space="preserve"> that must be discussed and appeals that must be decided by the TWG.</w:t>
      </w:r>
    </w:p>
    <w:p w:rsidR="00F72932" w:rsidRDefault="00F72932" w:rsidP="00F72932">
      <w:pPr>
        <w:spacing w:after="0" w:line="240" w:lineRule="auto"/>
        <w:jc w:val="both"/>
        <w:rPr>
          <w:rFonts w:eastAsia="Times New Roman" w:cs="Arial"/>
          <w:b/>
          <w:lang w:eastAsia="en-PH"/>
        </w:rPr>
      </w:pPr>
    </w:p>
    <w:p w:rsidR="00F72932" w:rsidRPr="00F72932" w:rsidRDefault="00F72932" w:rsidP="00A90073">
      <w:pPr>
        <w:spacing w:after="0" w:line="240" w:lineRule="auto"/>
        <w:ind w:left="360"/>
        <w:jc w:val="both"/>
        <w:rPr>
          <w:rFonts w:eastAsia="Times New Roman" w:cs="Arial"/>
          <w:b/>
          <w:lang w:eastAsia="en-PH"/>
        </w:rPr>
      </w:pPr>
      <w:r w:rsidRPr="00F72932">
        <w:rPr>
          <w:rFonts w:eastAsia="Times New Roman" w:cs="Arial"/>
          <w:b/>
          <w:lang w:eastAsia="en-PH"/>
        </w:rPr>
        <w:t xml:space="preserve">AGREEMENTS: </w:t>
      </w:r>
    </w:p>
    <w:p w:rsidR="00607C1A" w:rsidRPr="00A90073" w:rsidRDefault="00A90073" w:rsidP="008D0A27">
      <w:pPr>
        <w:pStyle w:val="ListParagraph"/>
        <w:numPr>
          <w:ilvl w:val="0"/>
          <w:numId w:val="37"/>
        </w:numPr>
        <w:spacing w:after="0" w:line="240" w:lineRule="auto"/>
        <w:jc w:val="both"/>
        <w:rPr>
          <w:lang w:val="en-US"/>
        </w:rPr>
      </w:pPr>
      <w:r w:rsidRPr="00A90073">
        <w:rPr>
          <w:rFonts w:cs="Arial"/>
        </w:rPr>
        <w:t>Regarding the suggestion to increase the number of best individuals, Usec. Moya instructed to c</w:t>
      </w:r>
      <w:r w:rsidR="00F72932" w:rsidRPr="00A90073">
        <w:rPr>
          <w:rFonts w:cs="Arial"/>
        </w:rPr>
        <w:t>ommission a study on how to improve ranking and distribution of PBB in coordination with OPCCB.</w:t>
      </w:r>
    </w:p>
    <w:p w:rsidR="000C12D2" w:rsidRPr="00A90073" w:rsidRDefault="000C12D2" w:rsidP="000C12D2">
      <w:pPr>
        <w:pStyle w:val="ListParagraph"/>
        <w:spacing w:after="0" w:line="240" w:lineRule="auto"/>
        <w:jc w:val="both"/>
        <w:rPr>
          <w:lang w:val="en-US"/>
        </w:rPr>
      </w:pPr>
      <w:r w:rsidRPr="00A90073">
        <w:rPr>
          <w:rFonts w:cs="Arial"/>
        </w:rPr>
        <w:t xml:space="preserve"> </w:t>
      </w:r>
    </w:p>
    <w:p w:rsidR="000C12D2" w:rsidRPr="00A90073" w:rsidRDefault="00A90073" w:rsidP="008D0A27">
      <w:pPr>
        <w:pStyle w:val="ListParagraph"/>
        <w:numPr>
          <w:ilvl w:val="0"/>
          <w:numId w:val="37"/>
        </w:numPr>
        <w:spacing w:after="0" w:line="240" w:lineRule="auto"/>
        <w:jc w:val="both"/>
        <w:rPr>
          <w:lang w:val="en-US"/>
        </w:rPr>
      </w:pPr>
      <w:r w:rsidRPr="00A90073">
        <w:rPr>
          <w:lang w:val="en-US"/>
        </w:rPr>
        <w:t>In line with the SUCs request to allow them to negotiate their GAA targets, a</w:t>
      </w:r>
      <w:r w:rsidR="000C12D2" w:rsidRPr="00A90073">
        <w:rPr>
          <w:lang w:val="en-US"/>
        </w:rPr>
        <w:t xml:space="preserve"> meeting between </w:t>
      </w:r>
      <w:r w:rsidR="000C12D2" w:rsidRPr="00A90073">
        <w:rPr>
          <w:rFonts w:cs="Arial"/>
        </w:rPr>
        <w:t>SUCs, CHED and BMB-B should be organized.  Joint recommendations by BMB-B and CHED will be presented and discussed by the TWG.</w:t>
      </w:r>
    </w:p>
    <w:p w:rsidR="000C12D2" w:rsidRPr="00A90073" w:rsidRDefault="000C12D2" w:rsidP="000C12D2">
      <w:pPr>
        <w:pStyle w:val="ListParagraph"/>
        <w:rPr>
          <w:lang w:val="en-US"/>
        </w:rPr>
      </w:pPr>
    </w:p>
    <w:p w:rsidR="000C12D2" w:rsidRPr="00A90073" w:rsidRDefault="000C12D2" w:rsidP="008D0A27">
      <w:pPr>
        <w:pStyle w:val="ListParagraph"/>
        <w:numPr>
          <w:ilvl w:val="0"/>
          <w:numId w:val="37"/>
        </w:numPr>
        <w:spacing w:after="0" w:line="240" w:lineRule="auto"/>
        <w:jc w:val="both"/>
        <w:rPr>
          <w:lang w:val="en-US"/>
        </w:rPr>
      </w:pPr>
      <w:r w:rsidRPr="00A90073">
        <w:rPr>
          <w:rFonts w:cs="Arial"/>
        </w:rPr>
        <w:lastRenderedPageBreak/>
        <w:t>The Secretariat to give feedback to the agencies as soon as possible thru a formal letter.  Also, all results should be posted on the RBPMS website.</w:t>
      </w:r>
    </w:p>
    <w:p w:rsidR="00F72932" w:rsidRPr="00C41DDD" w:rsidRDefault="00F72932" w:rsidP="00607C1A">
      <w:pPr>
        <w:spacing w:after="0" w:line="240" w:lineRule="auto"/>
        <w:jc w:val="both"/>
        <w:rPr>
          <w:lang w:val="en-US"/>
        </w:rPr>
      </w:pPr>
    </w:p>
    <w:p w:rsidR="009D3C68" w:rsidRPr="008044C4" w:rsidRDefault="009A5D16" w:rsidP="008044C4">
      <w:pPr>
        <w:spacing w:after="0" w:line="240" w:lineRule="auto"/>
        <w:ind w:left="450" w:hanging="450"/>
        <w:jc w:val="both"/>
        <w:rPr>
          <w:rFonts w:eastAsia="Times New Roman" w:cs="Arial"/>
          <w:b/>
          <w:lang w:eastAsia="en-PH"/>
        </w:rPr>
      </w:pPr>
      <w:r>
        <w:rPr>
          <w:rFonts w:eastAsia="Times New Roman" w:cs="Arial"/>
          <w:b/>
          <w:lang w:eastAsia="en-PH"/>
        </w:rPr>
        <w:t>4.4</w:t>
      </w:r>
      <w:r w:rsidR="006C1781">
        <w:rPr>
          <w:rFonts w:eastAsia="Times New Roman" w:cs="Arial"/>
          <w:b/>
          <w:lang w:eastAsia="en-PH"/>
        </w:rPr>
        <w:t xml:space="preserve"> </w:t>
      </w:r>
      <w:r w:rsidR="006C1781" w:rsidRPr="006C1781">
        <w:rPr>
          <w:rFonts w:eastAsia="Times New Roman" w:cs="Arial"/>
          <w:b/>
          <w:lang w:eastAsia="en-PH"/>
        </w:rPr>
        <w:t>PROPOSED GUIDELINES ENSURING THE QUALITY OF FY 2015 PBB VALIDATION/ASSESSMENT</w:t>
      </w:r>
    </w:p>
    <w:p w:rsidR="006C1781" w:rsidRPr="006C1781" w:rsidRDefault="006C1781" w:rsidP="009D3C68">
      <w:pPr>
        <w:spacing w:after="0" w:line="240" w:lineRule="auto"/>
        <w:outlineLvl w:val="0"/>
        <w:rPr>
          <w:rFonts w:cs="Arial"/>
        </w:rPr>
      </w:pPr>
      <w:r w:rsidRPr="006C1781">
        <w:rPr>
          <w:rFonts w:eastAsia="Times New Roman" w:cs="Arial"/>
          <w:b/>
          <w:lang w:val="en-US" w:eastAsia="en-PH"/>
        </w:rPr>
        <w:t xml:space="preserve">Highlights of the </w:t>
      </w:r>
      <w:r w:rsidRPr="006C1781">
        <w:rPr>
          <w:b/>
          <w:lang w:val="en-US"/>
        </w:rPr>
        <w:t>Proposed Guidelines Ensuring the Quality of Validation/Assessment for FY 2015 PBB</w:t>
      </w:r>
    </w:p>
    <w:p w:rsidR="00AA6102" w:rsidRPr="00AA6102" w:rsidRDefault="006C1781" w:rsidP="00011B84">
      <w:pPr>
        <w:pStyle w:val="ListParagraph"/>
        <w:numPr>
          <w:ilvl w:val="0"/>
          <w:numId w:val="8"/>
        </w:numPr>
        <w:spacing w:after="0" w:line="240" w:lineRule="auto"/>
        <w:jc w:val="both"/>
        <w:outlineLvl w:val="0"/>
        <w:rPr>
          <w:lang w:val="en-US"/>
        </w:rPr>
      </w:pPr>
      <w:r w:rsidRPr="006C1781">
        <w:rPr>
          <w:lang w:val="en-US"/>
        </w:rPr>
        <w:t>Ms. Ablan proceeded to the presentation</w:t>
      </w:r>
      <w:r w:rsidR="003B253D">
        <w:rPr>
          <w:lang w:val="en-US"/>
        </w:rPr>
        <w:t xml:space="preserve"> of the </w:t>
      </w:r>
      <w:r w:rsidR="003B253D">
        <w:t xml:space="preserve">proposed guidelines </w:t>
      </w:r>
      <w:r w:rsidR="00A65E17">
        <w:t>on</w:t>
      </w:r>
      <w:r w:rsidR="003B253D">
        <w:t xml:space="preserve"> the quality assurance and validation for FY 2015 PBB.  Reiterating what was presented during the July 10 TWG meeting, Ms. Ablan reported that in the FY 2015 </w:t>
      </w:r>
      <w:r w:rsidR="00075325">
        <w:t>process f</w:t>
      </w:r>
      <w:r w:rsidR="003B253D">
        <w:t>low, a pre-assessment of agencies compliance shall be conducted starting September 1.  Then agencies should submit their GGCs starting December 1.  Starting Januar</w:t>
      </w:r>
      <w:r w:rsidR="00AA6102">
        <w:t>y 15 agencies will submit their</w:t>
      </w:r>
      <w:r w:rsidR="00011B84">
        <w:t xml:space="preserve"> </w:t>
      </w:r>
      <w:r w:rsidR="003B253D">
        <w:t>accomplishment reports and the validation process will</w:t>
      </w:r>
      <w:r w:rsidR="00AA6102">
        <w:t xml:space="preserve"> be conducted</w:t>
      </w:r>
      <w:r w:rsidR="003B253D">
        <w:t xml:space="preserve"> </w:t>
      </w:r>
      <w:r w:rsidR="00AA6102">
        <w:t>until March.</w:t>
      </w:r>
    </w:p>
    <w:p w:rsidR="00AA6102" w:rsidRPr="00AA6102" w:rsidRDefault="00AA6102" w:rsidP="00011B84">
      <w:pPr>
        <w:pStyle w:val="ListParagraph"/>
        <w:spacing w:after="0" w:line="240" w:lineRule="auto"/>
        <w:jc w:val="both"/>
        <w:outlineLvl w:val="0"/>
        <w:rPr>
          <w:lang w:val="en-US"/>
        </w:rPr>
      </w:pPr>
    </w:p>
    <w:p w:rsidR="00BE3BFC" w:rsidRDefault="00AA6102" w:rsidP="00BE3BFC">
      <w:pPr>
        <w:pStyle w:val="ListParagraph"/>
        <w:numPr>
          <w:ilvl w:val="0"/>
          <w:numId w:val="8"/>
        </w:numPr>
        <w:spacing w:after="0" w:line="240" w:lineRule="auto"/>
        <w:jc w:val="both"/>
        <w:outlineLvl w:val="0"/>
      </w:pPr>
      <w:r>
        <w:t xml:space="preserve">For FY 2015 PBB, </w:t>
      </w:r>
      <w:r w:rsidR="006B60D5">
        <w:t xml:space="preserve">three </w:t>
      </w:r>
      <w:r w:rsidR="003B253D">
        <w:t>pay-outs</w:t>
      </w:r>
      <w:r>
        <w:t xml:space="preserve"> </w:t>
      </w:r>
      <w:r w:rsidR="00E147D7">
        <w:t>will</w:t>
      </w:r>
      <w:r>
        <w:t xml:space="preserve"> be expected</w:t>
      </w:r>
      <w:r w:rsidR="00550B99">
        <w:t xml:space="preserve"> –</w:t>
      </w:r>
      <w:r w:rsidR="003B253D">
        <w:t xml:space="preserve"> 1</w:t>
      </w:r>
      <w:r w:rsidR="003B253D" w:rsidRPr="00384095">
        <w:rPr>
          <w:vertAlign w:val="superscript"/>
        </w:rPr>
        <w:t>st</w:t>
      </w:r>
      <w:r w:rsidR="003B253D">
        <w:t xml:space="preserve"> </w:t>
      </w:r>
      <w:r w:rsidR="00550B99">
        <w:t xml:space="preserve">payout </w:t>
      </w:r>
      <w:r w:rsidR="003B253D">
        <w:t>would be</w:t>
      </w:r>
      <w:r w:rsidR="00550B99">
        <w:t xml:space="preserve"> on</w:t>
      </w:r>
      <w:r w:rsidR="003B253D">
        <w:t xml:space="preserve"> February 29</w:t>
      </w:r>
      <w:r w:rsidR="00550B99">
        <w:t>, 2016</w:t>
      </w:r>
      <w:r w:rsidR="00614953">
        <w:t xml:space="preserve"> based on as of January 29 NC list</w:t>
      </w:r>
      <w:r w:rsidR="00550B99">
        <w:t>;</w:t>
      </w:r>
      <w:r w:rsidR="003B253D">
        <w:t xml:space="preserve"> 2</w:t>
      </w:r>
      <w:r w:rsidR="003B253D" w:rsidRPr="00384095">
        <w:rPr>
          <w:vertAlign w:val="superscript"/>
        </w:rPr>
        <w:t>nd</w:t>
      </w:r>
      <w:r w:rsidR="003B253D">
        <w:t xml:space="preserve"> </w:t>
      </w:r>
      <w:r w:rsidR="00550B99">
        <w:t>payout would be on</w:t>
      </w:r>
      <w:r w:rsidR="003B253D">
        <w:t xml:space="preserve"> March 31</w:t>
      </w:r>
      <w:r w:rsidR="00550B99">
        <w:t>, 2016</w:t>
      </w:r>
      <w:r w:rsidR="00D623CE">
        <w:t xml:space="preserve"> based on as of February 26 NC list</w:t>
      </w:r>
      <w:r w:rsidR="00550B99">
        <w:t>;</w:t>
      </w:r>
      <w:r w:rsidR="003B253D">
        <w:t xml:space="preserve"> and the last would be after</w:t>
      </w:r>
      <w:r w:rsidR="00550B99">
        <w:t xml:space="preserve"> the 2016 national</w:t>
      </w:r>
      <w:r w:rsidR="003B253D">
        <w:t xml:space="preserve"> election</w:t>
      </w:r>
      <w:r w:rsidR="00550B99">
        <w:t>s</w:t>
      </w:r>
      <w:r w:rsidR="00384095">
        <w:t xml:space="preserve"> based on as of </w:t>
      </w:r>
      <w:r w:rsidR="00E86B08">
        <w:t>March 31</w:t>
      </w:r>
      <w:r w:rsidR="00384095">
        <w:t xml:space="preserve"> NC list. </w:t>
      </w:r>
    </w:p>
    <w:p w:rsidR="00384095" w:rsidRDefault="00384095" w:rsidP="00384095">
      <w:pPr>
        <w:spacing w:after="0" w:line="240" w:lineRule="auto"/>
        <w:jc w:val="both"/>
        <w:outlineLvl w:val="0"/>
      </w:pPr>
    </w:p>
    <w:p w:rsidR="00BE3BFC" w:rsidRPr="00BE3BFC" w:rsidRDefault="00BE3BFC" w:rsidP="00BE3BFC">
      <w:pPr>
        <w:pStyle w:val="ListParagraph"/>
        <w:numPr>
          <w:ilvl w:val="0"/>
          <w:numId w:val="8"/>
        </w:numPr>
        <w:spacing w:after="0" w:line="240" w:lineRule="auto"/>
        <w:jc w:val="both"/>
        <w:outlineLvl w:val="0"/>
        <w:rPr>
          <w:lang w:val="en-US"/>
        </w:rPr>
      </w:pPr>
      <w:r>
        <w:t xml:space="preserve">With regard to the payout, </w:t>
      </w:r>
      <w:r w:rsidRPr="00A61FAB">
        <w:rPr>
          <w:rFonts w:cs="Arial"/>
        </w:rPr>
        <w:t>Usec. Moya also announced that there was a proposal to advance a 5,000-bonus to individuals once their agency qualified for the PBB and while the rating and ranking of the agency is still being finalized by the agency and reviewed by DBM. Once the rating and ranking report is approved, the additional bonus commensurate to the ranking of the individuals will then be released.</w:t>
      </w:r>
    </w:p>
    <w:p w:rsidR="003B253D" w:rsidRDefault="00BE3BFC" w:rsidP="00BE3BFC">
      <w:pPr>
        <w:pStyle w:val="ListParagraph"/>
        <w:spacing w:after="0" w:line="240" w:lineRule="auto"/>
        <w:jc w:val="both"/>
        <w:outlineLvl w:val="0"/>
        <w:rPr>
          <w:lang w:val="en-US"/>
        </w:rPr>
      </w:pPr>
      <w:r>
        <w:rPr>
          <w:lang w:val="en-US"/>
        </w:rPr>
        <w:t xml:space="preserve"> </w:t>
      </w:r>
    </w:p>
    <w:p w:rsidR="001D2C8A" w:rsidRPr="001D2C8A" w:rsidRDefault="005616A4" w:rsidP="001D2C8A">
      <w:pPr>
        <w:pStyle w:val="ListParagraph"/>
        <w:numPr>
          <w:ilvl w:val="0"/>
          <w:numId w:val="8"/>
        </w:numPr>
        <w:spacing w:after="0" w:line="240" w:lineRule="auto"/>
        <w:jc w:val="both"/>
        <w:outlineLvl w:val="0"/>
        <w:rPr>
          <w:lang w:val="en-US"/>
        </w:rPr>
      </w:pPr>
      <w:r>
        <w:rPr>
          <w:lang w:val="en-US"/>
        </w:rPr>
        <w:t>In relation to the payout</w:t>
      </w:r>
      <w:r w:rsidR="001D2C8A">
        <w:rPr>
          <w:lang w:val="en-US"/>
        </w:rPr>
        <w:t xml:space="preserve"> dates</w:t>
      </w:r>
      <w:r>
        <w:rPr>
          <w:lang w:val="en-US"/>
        </w:rPr>
        <w:t>, Ms. Ablan reported that it was also one of the guiding principles for FY 2015 PBB to</w:t>
      </w:r>
      <w:r w:rsidR="006C1781" w:rsidRPr="005616A4">
        <w:rPr>
          <w:rFonts w:cs="Arial"/>
        </w:rPr>
        <w:t xml:space="preserve"> uphold the authority of the validating/oversight agencies to withhold PBB.</w:t>
      </w:r>
      <w:r>
        <w:rPr>
          <w:rFonts w:cs="Arial"/>
        </w:rPr>
        <w:t xml:space="preserve">  </w:t>
      </w:r>
      <w:r w:rsidR="001D2C8A">
        <w:rPr>
          <w:rFonts w:cs="Arial"/>
        </w:rPr>
        <w:t xml:space="preserve">Along this line, Usec. Moya suggested to also allow the oversight agencies to appeal in behalf of the agencies they are overseeing/supervising.  </w:t>
      </w:r>
    </w:p>
    <w:p w:rsidR="001D2C8A" w:rsidRPr="001D2C8A" w:rsidRDefault="001D2C8A" w:rsidP="001D2C8A">
      <w:pPr>
        <w:pStyle w:val="ListParagraph"/>
        <w:rPr>
          <w:rFonts w:cs="Arial"/>
        </w:rPr>
      </w:pPr>
    </w:p>
    <w:p w:rsidR="007871EB" w:rsidRPr="007871EB" w:rsidRDefault="006C1781" w:rsidP="007871EB">
      <w:pPr>
        <w:pStyle w:val="ListParagraph"/>
        <w:numPr>
          <w:ilvl w:val="0"/>
          <w:numId w:val="8"/>
        </w:numPr>
        <w:spacing w:after="0" w:line="240" w:lineRule="auto"/>
        <w:jc w:val="both"/>
        <w:outlineLvl w:val="0"/>
        <w:rPr>
          <w:lang w:val="en-US"/>
        </w:rPr>
      </w:pPr>
      <w:r w:rsidRPr="001D2C8A">
        <w:rPr>
          <w:rFonts w:cs="Arial"/>
        </w:rPr>
        <w:t>Meanwhile, Atty. Reyes raised that instead of the indicating the payout dates, the ones that should be explicitly reflected are the dates of submission of the requirements.</w:t>
      </w:r>
    </w:p>
    <w:p w:rsidR="007871EB" w:rsidRPr="007871EB" w:rsidRDefault="007871EB" w:rsidP="007871EB">
      <w:pPr>
        <w:pStyle w:val="ListParagraph"/>
        <w:rPr>
          <w:rFonts w:cs="Arial"/>
        </w:rPr>
      </w:pPr>
    </w:p>
    <w:p w:rsidR="0084264E" w:rsidRPr="0084264E" w:rsidRDefault="006C1781" w:rsidP="007871EB">
      <w:pPr>
        <w:pStyle w:val="ListParagraph"/>
        <w:numPr>
          <w:ilvl w:val="0"/>
          <w:numId w:val="8"/>
        </w:numPr>
        <w:spacing w:after="0" w:line="240" w:lineRule="auto"/>
        <w:jc w:val="both"/>
        <w:outlineLvl w:val="0"/>
        <w:rPr>
          <w:lang w:val="en-US"/>
        </w:rPr>
      </w:pPr>
      <w:r w:rsidRPr="007871EB">
        <w:rPr>
          <w:rFonts w:cs="Arial"/>
        </w:rPr>
        <w:t xml:space="preserve">SVP Mendoza cleared that the deadlines of submission were already reflected in the Memorandum Circular.  The schedule that was being presented was actually for the perusal of the TWG.  The purpose of publishing the payout dates instead of the date of submission is to trigger the facilitation of the validation.  </w:t>
      </w:r>
    </w:p>
    <w:p w:rsidR="0084264E" w:rsidRPr="0084264E" w:rsidRDefault="0084264E" w:rsidP="0084264E">
      <w:pPr>
        <w:pStyle w:val="ListParagraph"/>
        <w:rPr>
          <w:rFonts w:cs="Arial"/>
        </w:rPr>
      </w:pPr>
    </w:p>
    <w:p w:rsidR="0084264E" w:rsidRPr="0084264E" w:rsidRDefault="0084264E" w:rsidP="0084264E">
      <w:pPr>
        <w:pStyle w:val="ListParagraph"/>
        <w:numPr>
          <w:ilvl w:val="0"/>
          <w:numId w:val="8"/>
        </w:numPr>
        <w:spacing w:after="0" w:line="240" w:lineRule="auto"/>
        <w:jc w:val="both"/>
        <w:outlineLvl w:val="0"/>
        <w:rPr>
          <w:lang w:val="en-US"/>
        </w:rPr>
      </w:pPr>
      <w:r>
        <w:rPr>
          <w:rFonts w:cs="Arial"/>
        </w:rPr>
        <w:t>SVP Mendoza</w:t>
      </w:r>
      <w:r w:rsidR="006C1781" w:rsidRPr="007871EB">
        <w:rPr>
          <w:rFonts w:cs="Arial"/>
        </w:rPr>
        <w:t xml:space="preserve"> explained that as early as now, the validating/oversight agencies (for SALN, financial statements, APP, Transparency Seal and ARTA) may already conduct their pre-assessment.  Hence, by December 1, it </w:t>
      </w:r>
      <w:r>
        <w:rPr>
          <w:rFonts w:cs="Arial"/>
        </w:rPr>
        <w:t>will be</w:t>
      </w:r>
      <w:r w:rsidR="006C1781" w:rsidRPr="007871EB">
        <w:rPr>
          <w:rFonts w:cs="Arial"/>
        </w:rPr>
        <w:t xml:space="preserve"> expected that almost all agencies w</w:t>
      </w:r>
      <w:r>
        <w:rPr>
          <w:rFonts w:cs="Arial"/>
        </w:rPr>
        <w:t>ould</w:t>
      </w:r>
      <w:r w:rsidR="006C1781" w:rsidRPr="007871EB">
        <w:rPr>
          <w:rFonts w:cs="Arial"/>
        </w:rPr>
        <w:t xml:space="preserve"> already be able to comply with the Good Governance Conditions and other requirements.   </w:t>
      </w:r>
      <w:r>
        <w:rPr>
          <w:rFonts w:cs="Arial"/>
        </w:rPr>
        <w:t>Nonetheless, d</w:t>
      </w:r>
      <w:r w:rsidR="006C1781" w:rsidRPr="007871EB">
        <w:rPr>
          <w:rFonts w:cs="Arial"/>
        </w:rPr>
        <w:t xml:space="preserve">uring the validation period the validating/oversight agencies may already coordinate with the agencies the results of their validation and give them opportunity to rectify their deficiencies until before the issuance of the NC list.  </w:t>
      </w:r>
    </w:p>
    <w:p w:rsidR="0084264E" w:rsidRPr="0084264E" w:rsidRDefault="0084264E" w:rsidP="0084264E">
      <w:pPr>
        <w:pStyle w:val="ListParagraph"/>
        <w:rPr>
          <w:rFonts w:cs="Arial"/>
        </w:rPr>
      </w:pPr>
    </w:p>
    <w:p w:rsidR="0084264E" w:rsidRPr="0084264E" w:rsidRDefault="006C1781" w:rsidP="0084264E">
      <w:pPr>
        <w:pStyle w:val="ListParagraph"/>
        <w:numPr>
          <w:ilvl w:val="0"/>
          <w:numId w:val="8"/>
        </w:numPr>
        <w:spacing w:after="0" w:line="240" w:lineRule="auto"/>
        <w:jc w:val="both"/>
        <w:outlineLvl w:val="0"/>
        <w:rPr>
          <w:lang w:val="en-US"/>
        </w:rPr>
      </w:pPr>
      <w:r w:rsidRPr="0084264E">
        <w:rPr>
          <w:rFonts w:cs="Arial"/>
        </w:rPr>
        <w:t xml:space="preserve">Still on the payout schedule, Comm. Osorio asked if the payout dates indicated meant the release of the SARO and NCA, to which SVP Mendoza confirmed.  Comm.  Osorio then suggested that DBM should then be aware of the payout dates.  </w:t>
      </w:r>
    </w:p>
    <w:p w:rsidR="0084264E" w:rsidRPr="0084264E" w:rsidRDefault="0084264E" w:rsidP="0084264E">
      <w:pPr>
        <w:pStyle w:val="ListParagraph"/>
        <w:rPr>
          <w:rFonts w:cs="Arial"/>
        </w:rPr>
      </w:pPr>
    </w:p>
    <w:p w:rsidR="0084264E" w:rsidRPr="0084264E" w:rsidRDefault="006C1781" w:rsidP="0084264E">
      <w:pPr>
        <w:pStyle w:val="ListParagraph"/>
        <w:numPr>
          <w:ilvl w:val="0"/>
          <w:numId w:val="8"/>
        </w:numPr>
        <w:spacing w:after="0" w:line="240" w:lineRule="auto"/>
        <w:jc w:val="both"/>
        <w:outlineLvl w:val="0"/>
        <w:rPr>
          <w:lang w:val="en-US"/>
        </w:rPr>
      </w:pPr>
      <w:r w:rsidRPr="0084264E">
        <w:rPr>
          <w:rFonts w:cs="Arial"/>
        </w:rPr>
        <w:lastRenderedPageBreak/>
        <w:t>Usec.  Moya noted and gave instruction to inform as well the office releasing the PBB of the work</w:t>
      </w:r>
      <w:r w:rsidR="0084264E">
        <w:rPr>
          <w:rFonts w:cs="Arial"/>
        </w:rPr>
        <w:t xml:space="preserve"> </w:t>
      </w:r>
      <w:r w:rsidRPr="0084264E">
        <w:rPr>
          <w:rFonts w:cs="Arial"/>
        </w:rPr>
        <w:t xml:space="preserve">plan of the TWG </w:t>
      </w:r>
      <w:r w:rsidR="0084264E">
        <w:rPr>
          <w:rFonts w:cs="Arial"/>
        </w:rPr>
        <w:t xml:space="preserve">to ensure that they observe </w:t>
      </w:r>
      <w:r w:rsidRPr="0084264E">
        <w:rPr>
          <w:rFonts w:cs="Arial"/>
        </w:rPr>
        <w:t xml:space="preserve">the payout schedule.   In addition, Usec. Moya raised that there should be a parallel processing of the validation of the accomplishments and good governance compliance, review of the rating and ranking report, and processing of payout.  For the past PBB cycles, the review of the rating and ranking report </w:t>
      </w:r>
      <w:r w:rsidR="0084264E">
        <w:rPr>
          <w:rFonts w:cs="Arial"/>
        </w:rPr>
        <w:t>was</w:t>
      </w:r>
      <w:r w:rsidRPr="0084264E">
        <w:rPr>
          <w:rFonts w:cs="Arial"/>
        </w:rPr>
        <w:t xml:space="preserve"> contingent upon the results of assessment of the agency performance and good governance compliance.  This time, the oversight and validating agencies should already be proactive; all documents must be processed so that when approved, DBM will just release the bonus.</w:t>
      </w:r>
    </w:p>
    <w:p w:rsidR="0084264E" w:rsidRPr="0084264E" w:rsidRDefault="0084264E" w:rsidP="0084264E">
      <w:pPr>
        <w:pStyle w:val="ListParagraph"/>
        <w:rPr>
          <w:rFonts w:cs="Arial"/>
        </w:rPr>
      </w:pPr>
    </w:p>
    <w:p w:rsidR="004776D6" w:rsidRPr="004776D6" w:rsidRDefault="006C1781" w:rsidP="0084264E">
      <w:pPr>
        <w:pStyle w:val="ListParagraph"/>
        <w:numPr>
          <w:ilvl w:val="0"/>
          <w:numId w:val="8"/>
        </w:numPr>
        <w:spacing w:after="0" w:line="240" w:lineRule="auto"/>
        <w:jc w:val="both"/>
        <w:outlineLvl w:val="0"/>
        <w:rPr>
          <w:lang w:val="en-US"/>
        </w:rPr>
      </w:pPr>
      <w:r w:rsidRPr="0084264E">
        <w:rPr>
          <w:rFonts w:cs="Arial"/>
        </w:rPr>
        <w:t>At this point, Asec. Chua suggested that for FY 2015, the Secretariat may already issue the final validation/assessment of the agencies even without the final or approved Form 1.0.  Usec. Moya affirmed and added that the initial 5,000 Php may already be released to the individuals.</w:t>
      </w:r>
      <w:r w:rsidR="004776D6">
        <w:rPr>
          <w:rFonts w:cs="Arial"/>
        </w:rPr>
        <w:t xml:space="preserve">  </w:t>
      </w:r>
    </w:p>
    <w:p w:rsidR="004776D6" w:rsidRPr="004776D6" w:rsidRDefault="004776D6" w:rsidP="004776D6">
      <w:pPr>
        <w:pStyle w:val="ListParagraph"/>
        <w:rPr>
          <w:rFonts w:cs="Arial"/>
        </w:rPr>
      </w:pPr>
    </w:p>
    <w:p w:rsidR="00D2279F" w:rsidRPr="00D2279F" w:rsidRDefault="00D2279F" w:rsidP="00D2279F">
      <w:pPr>
        <w:pStyle w:val="ListParagraph"/>
        <w:numPr>
          <w:ilvl w:val="0"/>
          <w:numId w:val="8"/>
        </w:numPr>
        <w:spacing w:after="0" w:line="240" w:lineRule="auto"/>
        <w:jc w:val="both"/>
        <w:outlineLvl w:val="0"/>
        <w:rPr>
          <w:lang w:val="en-US"/>
        </w:rPr>
      </w:pPr>
      <w:r>
        <w:rPr>
          <w:rFonts w:cs="Arial"/>
        </w:rPr>
        <w:t xml:space="preserve">Asec. Chua also suggested putting </w:t>
      </w:r>
      <w:r w:rsidR="00CF7AC7">
        <w:rPr>
          <w:rFonts w:cs="Arial"/>
        </w:rPr>
        <w:t xml:space="preserve">into writing </w:t>
      </w:r>
      <w:r>
        <w:rPr>
          <w:rFonts w:cs="Arial"/>
        </w:rPr>
        <w:t>the proposed guidelines ensuring the quality of validation for FY 2015 PBB into writing which can be routed to the members for comments.  Usec. Moya then reminded everyone that the proposed guidelines for quality assuran</w:t>
      </w:r>
      <w:r w:rsidR="002A55C7">
        <w:rPr>
          <w:rFonts w:cs="Arial"/>
        </w:rPr>
        <w:t>ce was only for the TWG members. H</w:t>
      </w:r>
      <w:r>
        <w:rPr>
          <w:rFonts w:cs="Arial"/>
        </w:rPr>
        <w:t xml:space="preserve">ence should not be released to agencies. </w:t>
      </w:r>
    </w:p>
    <w:p w:rsidR="00D2279F" w:rsidRPr="00D2279F" w:rsidRDefault="00D2279F" w:rsidP="00D2279F">
      <w:pPr>
        <w:pStyle w:val="ListParagraph"/>
        <w:rPr>
          <w:rFonts w:cs="Arial"/>
        </w:rPr>
      </w:pPr>
    </w:p>
    <w:p w:rsidR="00D2279F" w:rsidRPr="00D2279F" w:rsidRDefault="00AE3CD0" w:rsidP="00D2279F">
      <w:pPr>
        <w:pStyle w:val="ListParagraph"/>
        <w:numPr>
          <w:ilvl w:val="0"/>
          <w:numId w:val="8"/>
        </w:numPr>
        <w:spacing w:after="0" w:line="240" w:lineRule="auto"/>
        <w:jc w:val="both"/>
        <w:outlineLvl w:val="0"/>
        <w:rPr>
          <w:lang w:val="en-US"/>
        </w:rPr>
      </w:pPr>
      <w:r w:rsidRPr="00D2279F">
        <w:rPr>
          <w:rFonts w:cs="Arial"/>
        </w:rPr>
        <w:t xml:space="preserve">For the validation of the Good Governance Conditions, </w:t>
      </w:r>
      <w:r w:rsidR="00D2279F" w:rsidRPr="00D2279F">
        <w:rPr>
          <w:rFonts w:cs="Arial"/>
        </w:rPr>
        <w:t xml:space="preserve">Ms. Ablan recalled that during the last TWG meeting, </w:t>
      </w:r>
      <w:r w:rsidRPr="00D2279F">
        <w:rPr>
          <w:rFonts w:cs="Arial"/>
        </w:rPr>
        <w:t>it was</w:t>
      </w:r>
      <w:r w:rsidR="00D2279F" w:rsidRPr="00D2279F">
        <w:rPr>
          <w:rFonts w:cs="Arial"/>
        </w:rPr>
        <w:t xml:space="preserve"> agreed to </w:t>
      </w:r>
      <w:r w:rsidRPr="00D2279F">
        <w:rPr>
          <w:rFonts w:cs="Arial"/>
        </w:rPr>
        <w:t xml:space="preserve">have a pre-assessment three months before the actual submission of </w:t>
      </w:r>
      <w:r w:rsidR="00D2279F">
        <w:rPr>
          <w:rFonts w:cs="Arial"/>
        </w:rPr>
        <w:t xml:space="preserve">the compliance certifications. </w:t>
      </w:r>
    </w:p>
    <w:p w:rsidR="00D2279F" w:rsidRPr="00D2279F" w:rsidRDefault="00D2279F" w:rsidP="00D2279F">
      <w:pPr>
        <w:pStyle w:val="ListParagraph"/>
        <w:rPr>
          <w:rFonts w:cs="Arial"/>
        </w:rPr>
      </w:pPr>
    </w:p>
    <w:p w:rsidR="00D2279F" w:rsidRPr="00D2279F" w:rsidRDefault="00AE3CD0" w:rsidP="00D2279F">
      <w:pPr>
        <w:pStyle w:val="ListParagraph"/>
        <w:numPr>
          <w:ilvl w:val="0"/>
          <w:numId w:val="8"/>
        </w:numPr>
        <w:spacing w:after="0" w:line="240" w:lineRule="auto"/>
        <w:jc w:val="both"/>
        <w:outlineLvl w:val="0"/>
        <w:rPr>
          <w:lang w:val="en-US"/>
        </w:rPr>
      </w:pPr>
      <w:r w:rsidRPr="00D2279F">
        <w:rPr>
          <w:rFonts w:cs="Arial"/>
        </w:rPr>
        <w:t xml:space="preserve">The Secretariat surveyed the oversight/validating agencies on whether they can conduct a pre-assessment within the given period or not.  DBM-OCIO, CSC, and GPPB confirmed that they can do the pre-assessment for the Transparency Seal, ARTA, APCPI and APP, respectively.  </w:t>
      </w:r>
    </w:p>
    <w:p w:rsidR="00D2279F" w:rsidRPr="00D2279F" w:rsidRDefault="00D2279F" w:rsidP="00D2279F">
      <w:pPr>
        <w:pStyle w:val="ListParagraph"/>
        <w:rPr>
          <w:rFonts w:cs="Arial"/>
        </w:rPr>
      </w:pPr>
    </w:p>
    <w:p w:rsidR="009270C8" w:rsidRPr="009270C8" w:rsidRDefault="00AE3CD0" w:rsidP="009270C8">
      <w:pPr>
        <w:pStyle w:val="ListParagraph"/>
        <w:numPr>
          <w:ilvl w:val="0"/>
          <w:numId w:val="8"/>
        </w:numPr>
        <w:spacing w:after="0" w:line="240" w:lineRule="auto"/>
        <w:jc w:val="both"/>
        <w:outlineLvl w:val="0"/>
        <w:rPr>
          <w:lang w:val="en-US"/>
        </w:rPr>
      </w:pPr>
      <w:r w:rsidRPr="00D2279F">
        <w:rPr>
          <w:rFonts w:cs="Arial"/>
        </w:rPr>
        <w:t>Regarding PhilGEPS, since the coverage of postings that must be reflected in the certificate of compliance with PhilGEPS is from January 1, 2015 to November 30, 2015, it would not be possible for PhilGEPS to do a pre-assessment.  Instead, they will provide a link where agencies can monitor the status of their procurement postings.</w:t>
      </w:r>
      <w:r w:rsidR="00D2279F">
        <w:rPr>
          <w:rFonts w:cs="Arial"/>
        </w:rPr>
        <w:t xml:space="preserve">  </w:t>
      </w:r>
      <w:r w:rsidRPr="00D2279F">
        <w:rPr>
          <w:rFonts w:cs="Arial"/>
        </w:rPr>
        <w:t>Also for PhilGEPS, the “first come, first served” policy shall be applied.</w:t>
      </w:r>
    </w:p>
    <w:p w:rsidR="009270C8" w:rsidRPr="009270C8" w:rsidRDefault="009270C8" w:rsidP="009270C8">
      <w:pPr>
        <w:pStyle w:val="ListParagraph"/>
        <w:rPr>
          <w:rFonts w:cs="Arial"/>
        </w:rPr>
      </w:pPr>
    </w:p>
    <w:p w:rsidR="00E953E6" w:rsidRPr="00E953E6" w:rsidRDefault="009270C8" w:rsidP="009270C8">
      <w:pPr>
        <w:pStyle w:val="ListParagraph"/>
        <w:numPr>
          <w:ilvl w:val="0"/>
          <w:numId w:val="8"/>
        </w:numPr>
        <w:spacing w:after="0" w:line="240" w:lineRule="auto"/>
        <w:jc w:val="both"/>
        <w:outlineLvl w:val="0"/>
        <w:rPr>
          <w:lang w:val="en-US"/>
        </w:rPr>
      </w:pPr>
      <w:r w:rsidRPr="009270C8">
        <w:rPr>
          <w:rFonts w:cs="Arial"/>
        </w:rPr>
        <w:t>Asec. Nuque</w:t>
      </w:r>
      <w:r w:rsidR="00AE3CD0" w:rsidRPr="009270C8">
        <w:rPr>
          <w:rFonts w:cs="Arial"/>
        </w:rPr>
        <w:t xml:space="preserve"> recalled that there was a suggestion in the previous TWG meeting to conduct the pre-assessment earlier instead of three (3) months before December 1</w:t>
      </w:r>
      <w:r w:rsidR="00E953E6">
        <w:rPr>
          <w:rFonts w:cs="Arial"/>
        </w:rPr>
        <w:t xml:space="preserve"> since</w:t>
      </w:r>
      <w:r w:rsidR="00AE3CD0" w:rsidRPr="009270C8">
        <w:rPr>
          <w:rFonts w:cs="Arial"/>
        </w:rPr>
        <w:t xml:space="preserve"> there </w:t>
      </w:r>
      <w:r w:rsidR="00E953E6">
        <w:rPr>
          <w:rFonts w:cs="Arial"/>
        </w:rPr>
        <w:t>we</w:t>
      </w:r>
      <w:r w:rsidR="00AE3CD0" w:rsidRPr="009270C8">
        <w:rPr>
          <w:rFonts w:cs="Arial"/>
        </w:rPr>
        <w:t xml:space="preserve">re requirements that </w:t>
      </w:r>
      <w:r w:rsidR="00E953E6">
        <w:rPr>
          <w:rFonts w:cs="Arial"/>
        </w:rPr>
        <w:t>should have been</w:t>
      </w:r>
      <w:r w:rsidR="00AE3CD0" w:rsidRPr="009270C8">
        <w:rPr>
          <w:rFonts w:cs="Arial"/>
        </w:rPr>
        <w:t xml:space="preserve"> submitted in the early part of the year.  </w:t>
      </w:r>
    </w:p>
    <w:p w:rsidR="00E953E6" w:rsidRPr="00E953E6" w:rsidRDefault="00E953E6" w:rsidP="00E953E6">
      <w:pPr>
        <w:pStyle w:val="ListParagraph"/>
        <w:rPr>
          <w:rFonts w:cs="Arial"/>
        </w:rPr>
      </w:pPr>
    </w:p>
    <w:p w:rsidR="00E953E6" w:rsidRPr="00E953E6" w:rsidRDefault="00AE3CD0" w:rsidP="00E953E6">
      <w:pPr>
        <w:pStyle w:val="ListParagraph"/>
        <w:numPr>
          <w:ilvl w:val="0"/>
          <w:numId w:val="8"/>
        </w:numPr>
        <w:spacing w:after="0" w:line="240" w:lineRule="auto"/>
        <w:jc w:val="both"/>
        <w:outlineLvl w:val="0"/>
        <w:rPr>
          <w:lang w:val="en-US"/>
        </w:rPr>
      </w:pPr>
      <w:r w:rsidRPr="009270C8">
        <w:rPr>
          <w:rFonts w:cs="Arial"/>
        </w:rPr>
        <w:t xml:space="preserve">SVP Mendoza clarified that the “three months prior to December 1” has already commenced.  She also added that the purpose of the pre-assessment </w:t>
      </w:r>
      <w:r w:rsidR="00E953E6">
        <w:rPr>
          <w:rFonts w:cs="Arial"/>
        </w:rPr>
        <w:t xml:space="preserve">was to let the oversight </w:t>
      </w:r>
      <w:r w:rsidRPr="009270C8">
        <w:rPr>
          <w:rFonts w:cs="Arial"/>
        </w:rPr>
        <w:t xml:space="preserve">give feedback to the agencies and allow the </w:t>
      </w:r>
      <w:r w:rsidR="00E953E6">
        <w:rPr>
          <w:rFonts w:cs="Arial"/>
        </w:rPr>
        <w:t>latter</w:t>
      </w:r>
      <w:r w:rsidRPr="009270C8">
        <w:rPr>
          <w:rFonts w:cs="Arial"/>
        </w:rPr>
        <w:t xml:space="preserve"> to rectify their deficiencies even before the actual validation.  No NC list </w:t>
      </w:r>
      <w:r w:rsidR="00E953E6">
        <w:rPr>
          <w:rFonts w:cs="Arial"/>
        </w:rPr>
        <w:t>would</w:t>
      </w:r>
      <w:r w:rsidRPr="009270C8">
        <w:rPr>
          <w:rFonts w:cs="Arial"/>
        </w:rPr>
        <w:t xml:space="preserve"> be issued during this period.</w:t>
      </w:r>
    </w:p>
    <w:p w:rsidR="00E953E6" w:rsidRPr="00E953E6" w:rsidRDefault="00E953E6" w:rsidP="00E953E6">
      <w:pPr>
        <w:pStyle w:val="ListParagraph"/>
        <w:rPr>
          <w:rFonts w:cs="Arial"/>
        </w:rPr>
      </w:pPr>
    </w:p>
    <w:p w:rsidR="004C5023" w:rsidRPr="004C5023" w:rsidRDefault="00AE3CD0" w:rsidP="00E953E6">
      <w:pPr>
        <w:pStyle w:val="ListParagraph"/>
        <w:numPr>
          <w:ilvl w:val="0"/>
          <w:numId w:val="8"/>
        </w:numPr>
        <w:spacing w:after="0" w:line="240" w:lineRule="auto"/>
        <w:jc w:val="both"/>
        <w:outlineLvl w:val="0"/>
        <w:rPr>
          <w:lang w:val="en-US"/>
        </w:rPr>
      </w:pPr>
      <w:r w:rsidRPr="00E953E6">
        <w:rPr>
          <w:rFonts w:cs="Arial"/>
        </w:rPr>
        <w:t>Meanwhile, Usec. Moya asked if it</w:t>
      </w:r>
      <w:r w:rsidR="00534840">
        <w:rPr>
          <w:rFonts w:cs="Arial"/>
        </w:rPr>
        <w:t xml:space="preserve"> would be</w:t>
      </w:r>
      <w:r w:rsidRPr="00E953E6">
        <w:rPr>
          <w:rFonts w:cs="Arial"/>
        </w:rPr>
        <w:t xml:space="preserve"> possible to convert the forms required under the FY 2015 Guidelines into web forms including the performance accomplishments</w:t>
      </w:r>
      <w:r w:rsidR="004C5023">
        <w:rPr>
          <w:rFonts w:cs="Arial"/>
        </w:rPr>
        <w:t xml:space="preserve">.  This way, </w:t>
      </w:r>
      <w:r w:rsidRPr="00E953E6">
        <w:rPr>
          <w:rFonts w:cs="Arial"/>
        </w:rPr>
        <w:t>instead of using an excel</w:t>
      </w:r>
      <w:r w:rsidR="004C5023">
        <w:rPr>
          <w:rFonts w:cs="Arial"/>
        </w:rPr>
        <w:t xml:space="preserve"> file</w:t>
      </w:r>
      <w:r w:rsidRPr="00E953E6">
        <w:rPr>
          <w:rFonts w:cs="Arial"/>
        </w:rPr>
        <w:t>, agencies just have to input</w:t>
      </w:r>
      <w:r w:rsidR="004C5023">
        <w:rPr>
          <w:rFonts w:cs="Arial"/>
        </w:rPr>
        <w:t xml:space="preserve"> their report</w:t>
      </w:r>
      <w:r w:rsidRPr="00E953E6">
        <w:rPr>
          <w:rFonts w:cs="Arial"/>
        </w:rPr>
        <w:t xml:space="preserve"> them on the web</w:t>
      </w:r>
      <w:r w:rsidR="004C5023">
        <w:rPr>
          <w:rFonts w:cs="Arial"/>
        </w:rPr>
        <w:t>forms</w:t>
      </w:r>
      <w:r w:rsidRPr="00E953E6">
        <w:rPr>
          <w:rFonts w:cs="Arial"/>
        </w:rPr>
        <w:t xml:space="preserve">.  He asked if the TWG has the temperament, capacity and resources to do it.  </w:t>
      </w:r>
    </w:p>
    <w:p w:rsidR="004C5023" w:rsidRPr="004C5023" w:rsidRDefault="004C5023" w:rsidP="004C5023">
      <w:pPr>
        <w:pStyle w:val="ListParagraph"/>
        <w:rPr>
          <w:rFonts w:cs="Arial"/>
        </w:rPr>
      </w:pPr>
    </w:p>
    <w:p w:rsidR="00D86EF5" w:rsidRPr="00D86EF5" w:rsidRDefault="00AE3CD0" w:rsidP="00D86EF5">
      <w:pPr>
        <w:pStyle w:val="ListParagraph"/>
        <w:numPr>
          <w:ilvl w:val="0"/>
          <w:numId w:val="8"/>
        </w:numPr>
        <w:spacing w:after="0" w:line="240" w:lineRule="auto"/>
        <w:jc w:val="both"/>
        <w:outlineLvl w:val="0"/>
        <w:rPr>
          <w:lang w:val="en-US"/>
        </w:rPr>
      </w:pPr>
      <w:r w:rsidRPr="00E953E6">
        <w:rPr>
          <w:rFonts w:cs="Arial"/>
        </w:rPr>
        <w:lastRenderedPageBreak/>
        <w:t xml:space="preserve">Ms. Ablan replied that the RBPMS website </w:t>
      </w:r>
      <w:r w:rsidR="002D6FBC">
        <w:rPr>
          <w:rFonts w:cs="Arial"/>
        </w:rPr>
        <w:t>was</w:t>
      </w:r>
      <w:r w:rsidRPr="00E953E6">
        <w:rPr>
          <w:rFonts w:cs="Arial"/>
        </w:rPr>
        <w:t xml:space="preserve"> being updated and the Secretariat </w:t>
      </w:r>
      <w:r w:rsidR="002D6FBC">
        <w:rPr>
          <w:rFonts w:cs="Arial"/>
        </w:rPr>
        <w:t>was</w:t>
      </w:r>
      <w:r w:rsidRPr="00E953E6">
        <w:rPr>
          <w:rFonts w:cs="Arial"/>
        </w:rPr>
        <w:t xml:space="preserve"> already talking to a developer and looking into the possibility of allowing the validating agencies to have access to the website and be able to post </w:t>
      </w:r>
      <w:r w:rsidR="002D6FBC">
        <w:rPr>
          <w:rFonts w:cs="Arial"/>
        </w:rPr>
        <w:t xml:space="preserve">online </w:t>
      </w:r>
      <w:r w:rsidRPr="00E953E6">
        <w:rPr>
          <w:rFonts w:cs="Arial"/>
        </w:rPr>
        <w:t>the status of agency</w:t>
      </w:r>
    </w:p>
    <w:p w:rsidR="00D86EF5" w:rsidRPr="00D86EF5" w:rsidRDefault="00D86EF5" w:rsidP="00D86EF5">
      <w:pPr>
        <w:pStyle w:val="ListParagraph"/>
        <w:rPr>
          <w:rFonts w:cs="Arial"/>
        </w:rPr>
      </w:pPr>
    </w:p>
    <w:p w:rsidR="00D86EF5" w:rsidRPr="00D86EF5" w:rsidRDefault="00D86EF5" w:rsidP="00D86EF5">
      <w:pPr>
        <w:pStyle w:val="ListParagraph"/>
        <w:numPr>
          <w:ilvl w:val="0"/>
          <w:numId w:val="8"/>
        </w:numPr>
        <w:spacing w:after="0" w:line="240" w:lineRule="auto"/>
        <w:jc w:val="both"/>
        <w:outlineLvl w:val="0"/>
        <w:rPr>
          <w:lang w:val="en-US"/>
        </w:rPr>
      </w:pPr>
      <w:r w:rsidRPr="00D86EF5">
        <w:rPr>
          <w:rFonts w:cs="Arial"/>
        </w:rPr>
        <w:t>On s</w:t>
      </w:r>
      <w:r w:rsidR="00AE3CD0" w:rsidRPr="00D86EF5">
        <w:rPr>
          <w:rFonts w:cs="Arial"/>
        </w:rPr>
        <w:t>pot-checking and independent validation of accomplishment reports</w:t>
      </w:r>
      <w:r>
        <w:rPr>
          <w:rFonts w:cs="Arial"/>
        </w:rPr>
        <w:t>,</w:t>
      </w:r>
      <w:r w:rsidR="00AE3CD0" w:rsidRPr="00D86EF5">
        <w:rPr>
          <w:rFonts w:cs="Arial"/>
        </w:rPr>
        <w:t xml:space="preserve"> validation may be conducted with the involvement of the CSOs.  Ms. Ablan reported that an initial meeting with the DBM CSO-Desk was held on 14 August 2015 and the primary concern </w:t>
      </w:r>
      <w:r>
        <w:rPr>
          <w:rFonts w:cs="Arial"/>
        </w:rPr>
        <w:t>was</w:t>
      </w:r>
      <w:r w:rsidR="00AE3CD0" w:rsidRPr="00D86EF5">
        <w:rPr>
          <w:rFonts w:cs="Arial"/>
        </w:rPr>
        <w:t xml:space="preserve"> the mechanics and extent of the involvement of the CSOs, especially since not all agencies have budget partnership agreement (BPAs) with the CSOs.  It could be remembered that in FY 2013, the involvement of CSOs was just limited to observer status.  This time, the Secretariat and the CSO-Desk are exploring how to engage the CSOs.</w:t>
      </w:r>
    </w:p>
    <w:p w:rsidR="00D86EF5" w:rsidRPr="00D86EF5" w:rsidRDefault="00D86EF5" w:rsidP="00D86EF5">
      <w:pPr>
        <w:pStyle w:val="ListParagraph"/>
        <w:rPr>
          <w:rFonts w:cs="Arial"/>
        </w:rPr>
      </w:pPr>
    </w:p>
    <w:p w:rsidR="00D86EF5" w:rsidRPr="00D86EF5" w:rsidRDefault="00AE3CD0" w:rsidP="00D86EF5">
      <w:pPr>
        <w:pStyle w:val="ListParagraph"/>
        <w:numPr>
          <w:ilvl w:val="0"/>
          <w:numId w:val="8"/>
        </w:numPr>
        <w:spacing w:after="0" w:line="240" w:lineRule="auto"/>
        <w:jc w:val="both"/>
        <w:outlineLvl w:val="0"/>
        <w:rPr>
          <w:lang w:val="en-US"/>
        </w:rPr>
      </w:pPr>
      <w:r w:rsidRPr="00D86EF5">
        <w:rPr>
          <w:rFonts w:cs="Arial"/>
        </w:rPr>
        <w:t>For the local water districts, CabSec Almendras suggested during the last IATF meeting to engage the UP National Engineering Center.</w:t>
      </w:r>
    </w:p>
    <w:p w:rsidR="00D86EF5" w:rsidRPr="00D86EF5" w:rsidRDefault="00D86EF5" w:rsidP="00D86EF5">
      <w:pPr>
        <w:pStyle w:val="ListParagraph"/>
        <w:rPr>
          <w:rFonts w:cs="Arial"/>
        </w:rPr>
      </w:pPr>
    </w:p>
    <w:p w:rsidR="00FF433E" w:rsidRPr="00FF433E" w:rsidRDefault="00AE3CD0" w:rsidP="00FF433E">
      <w:pPr>
        <w:pStyle w:val="ListParagraph"/>
        <w:numPr>
          <w:ilvl w:val="0"/>
          <w:numId w:val="8"/>
        </w:numPr>
        <w:spacing w:after="0" w:line="240" w:lineRule="auto"/>
        <w:jc w:val="both"/>
        <w:outlineLvl w:val="0"/>
        <w:rPr>
          <w:lang w:val="en-US"/>
        </w:rPr>
      </w:pPr>
      <w:r w:rsidRPr="00D86EF5">
        <w:rPr>
          <w:rFonts w:cs="Arial"/>
        </w:rPr>
        <w:t>Meanwhile for the SUCs, third party audit might involve the AACUP.  During one of the meetings between CHED and the TWG, they suggested that they will coordinate with the AACUP about the scheduling of the AACUP validation of the indicator about the programs accreditation.</w:t>
      </w:r>
    </w:p>
    <w:p w:rsidR="00FF433E" w:rsidRPr="00FF433E" w:rsidRDefault="00FF433E" w:rsidP="00FF433E">
      <w:pPr>
        <w:pStyle w:val="ListParagraph"/>
        <w:rPr>
          <w:rFonts w:cs="Arial"/>
        </w:rPr>
      </w:pPr>
    </w:p>
    <w:p w:rsidR="00FF433E" w:rsidRPr="00FF433E" w:rsidRDefault="00AE3CD0" w:rsidP="00FF433E">
      <w:pPr>
        <w:pStyle w:val="ListParagraph"/>
        <w:numPr>
          <w:ilvl w:val="0"/>
          <w:numId w:val="8"/>
        </w:numPr>
        <w:spacing w:after="0" w:line="240" w:lineRule="auto"/>
        <w:jc w:val="both"/>
        <w:outlineLvl w:val="0"/>
        <w:rPr>
          <w:lang w:val="en-US"/>
        </w:rPr>
      </w:pPr>
      <w:r w:rsidRPr="00FF433E">
        <w:rPr>
          <w:rFonts w:cs="Arial"/>
        </w:rPr>
        <w:t>For the involvement of the AACUP as third party validator, Asec. Nuque noted that AACUP is just for the accreditation of programs.  For the SUCs, there are other important indicators that also need third party monitors.  Asec. Nuque believes that there should also be enough attention to feedback coming from local governments in terms of whether CHED policies, through SUCs, are actually compatible or helpful to developmental initiatives of the local government.  For him, there should also be a discussion on how to expand the third party monitors for CHED, especially since CHED is a regulatory agency, there is a necessity to look for an independent institution than can really provide genuine feedback that CHED can use in their assessment.</w:t>
      </w:r>
    </w:p>
    <w:p w:rsidR="00FF433E" w:rsidRPr="00FF433E" w:rsidRDefault="00FF433E" w:rsidP="00FF433E">
      <w:pPr>
        <w:pStyle w:val="ListParagraph"/>
        <w:rPr>
          <w:rFonts w:cs="Arial"/>
        </w:rPr>
      </w:pPr>
    </w:p>
    <w:p w:rsidR="00FF433E" w:rsidRPr="00FF433E" w:rsidRDefault="00AE3CD0" w:rsidP="00FF433E">
      <w:pPr>
        <w:pStyle w:val="ListParagraph"/>
        <w:numPr>
          <w:ilvl w:val="0"/>
          <w:numId w:val="8"/>
        </w:numPr>
        <w:spacing w:after="0" w:line="240" w:lineRule="auto"/>
        <w:jc w:val="both"/>
        <w:outlineLvl w:val="0"/>
        <w:rPr>
          <w:lang w:val="en-US"/>
        </w:rPr>
      </w:pPr>
      <w:r w:rsidRPr="00FF433E">
        <w:rPr>
          <w:rFonts w:cs="Arial"/>
        </w:rPr>
        <w:t>Director Garcia affirmed that AACUP only accredits the quality of the programs being offered in the college or university.  She also agreed with Asec. Nuque that third party audit for SUCs should not be limited to the program offering.  She believes that there is also a need to evaluate the operation of the school so to improve the operation of SUCs.</w:t>
      </w:r>
    </w:p>
    <w:p w:rsidR="00FF433E" w:rsidRPr="00FF433E" w:rsidRDefault="00FF433E" w:rsidP="00FF433E">
      <w:pPr>
        <w:pStyle w:val="ListParagraph"/>
        <w:rPr>
          <w:rFonts w:cs="Arial"/>
        </w:rPr>
      </w:pPr>
    </w:p>
    <w:p w:rsidR="00FF433E" w:rsidRPr="00FF433E" w:rsidRDefault="00AE3CD0" w:rsidP="00FF433E">
      <w:pPr>
        <w:pStyle w:val="ListParagraph"/>
        <w:numPr>
          <w:ilvl w:val="0"/>
          <w:numId w:val="8"/>
        </w:numPr>
        <w:spacing w:after="0" w:line="240" w:lineRule="auto"/>
        <w:jc w:val="both"/>
        <w:outlineLvl w:val="0"/>
        <w:rPr>
          <w:lang w:val="en-US"/>
        </w:rPr>
      </w:pPr>
      <w:r w:rsidRPr="00FF433E">
        <w:rPr>
          <w:rFonts w:cs="Arial"/>
        </w:rPr>
        <w:t>Usec. Moya pointed out two issues in this regard:</w:t>
      </w:r>
      <w:r w:rsidR="00FF433E">
        <w:rPr>
          <w:rFonts w:cs="Arial"/>
        </w:rPr>
        <w:t xml:space="preserve"> 1) t</w:t>
      </w:r>
      <w:r w:rsidRPr="00FF433E">
        <w:rPr>
          <w:rFonts w:cs="Arial"/>
        </w:rPr>
        <w:t>he need for an independent monitoring feedback that is needed to strengthen the M&amp;E (which is also required under an executive order)</w:t>
      </w:r>
      <w:r w:rsidR="00FF433E">
        <w:rPr>
          <w:rFonts w:cs="Arial"/>
        </w:rPr>
        <w:t>; and 2) t</w:t>
      </w:r>
      <w:r w:rsidRPr="00FF433E">
        <w:rPr>
          <w:rFonts w:cs="Arial"/>
        </w:rPr>
        <w:t>he ability of the TWG to confirm the numbers validated by the oversight/validating agencies are indeed correct.</w:t>
      </w:r>
    </w:p>
    <w:p w:rsidR="00FF433E" w:rsidRPr="00FF433E" w:rsidRDefault="00FF433E" w:rsidP="00FF433E">
      <w:pPr>
        <w:pStyle w:val="ListParagraph"/>
        <w:rPr>
          <w:rFonts w:cs="Arial"/>
        </w:rPr>
      </w:pPr>
    </w:p>
    <w:p w:rsidR="00FF433E" w:rsidRPr="00FF433E" w:rsidRDefault="00AE3CD0" w:rsidP="00FF433E">
      <w:pPr>
        <w:pStyle w:val="ListParagraph"/>
        <w:numPr>
          <w:ilvl w:val="0"/>
          <w:numId w:val="8"/>
        </w:numPr>
        <w:spacing w:after="0" w:line="240" w:lineRule="auto"/>
        <w:jc w:val="both"/>
        <w:outlineLvl w:val="0"/>
        <w:rPr>
          <w:lang w:val="en-US"/>
        </w:rPr>
      </w:pPr>
      <w:r w:rsidRPr="00FF433E">
        <w:rPr>
          <w:rFonts w:cs="Arial"/>
        </w:rPr>
        <w:t>With the introduction of the QA guidelines, what the TWG want</w:t>
      </w:r>
      <w:r w:rsidR="00FF433E" w:rsidRPr="00FF433E">
        <w:rPr>
          <w:rFonts w:cs="Arial"/>
        </w:rPr>
        <w:t>ed was to</w:t>
      </w:r>
      <w:r w:rsidRPr="00FF433E">
        <w:rPr>
          <w:rFonts w:cs="Arial"/>
        </w:rPr>
        <w:t xml:space="preserve"> have confidence that the ones being certified are actually valid.</w:t>
      </w:r>
      <w:r w:rsidR="00FF433E" w:rsidRPr="00FF433E">
        <w:rPr>
          <w:rFonts w:cs="Arial"/>
        </w:rPr>
        <w:t xml:space="preserve">  </w:t>
      </w:r>
      <w:r w:rsidRPr="00FF433E">
        <w:rPr>
          <w:rFonts w:cs="Arial"/>
        </w:rPr>
        <w:t>Usec. Moya believe</w:t>
      </w:r>
      <w:r w:rsidR="00FF433E">
        <w:rPr>
          <w:rFonts w:cs="Arial"/>
        </w:rPr>
        <w:t>d</w:t>
      </w:r>
      <w:r w:rsidRPr="00FF433E">
        <w:rPr>
          <w:rFonts w:cs="Arial"/>
        </w:rPr>
        <w:t xml:space="preserve"> that the long-term solution </w:t>
      </w:r>
      <w:r w:rsidR="00FF433E">
        <w:rPr>
          <w:rFonts w:cs="Arial"/>
        </w:rPr>
        <w:t>was</w:t>
      </w:r>
      <w:r w:rsidRPr="00FF433E">
        <w:rPr>
          <w:rFonts w:cs="Arial"/>
        </w:rPr>
        <w:t xml:space="preserve"> to marry this initiative with the Monitoring and Evaluation team present in the agency.  </w:t>
      </w:r>
    </w:p>
    <w:p w:rsidR="00FF433E" w:rsidRPr="00FF433E" w:rsidRDefault="00FF433E" w:rsidP="00FF433E">
      <w:pPr>
        <w:pStyle w:val="ListParagraph"/>
        <w:rPr>
          <w:rFonts w:cs="Arial"/>
        </w:rPr>
      </w:pPr>
    </w:p>
    <w:p w:rsidR="00FF433E" w:rsidRPr="00987336" w:rsidRDefault="00AE3CD0" w:rsidP="00FF433E">
      <w:pPr>
        <w:pStyle w:val="ListParagraph"/>
        <w:numPr>
          <w:ilvl w:val="0"/>
          <w:numId w:val="8"/>
        </w:numPr>
        <w:spacing w:after="0" w:line="240" w:lineRule="auto"/>
        <w:jc w:val="both"/>
        <w:outlineLvl w:val="0"/>
        <w:rPr>
          <w:lang w:val="en-US"/>
        </w:rPr>
      </w:pPr>
      <w:r w:rsidRPr="00987336">
        <w:rPr>
          <w:rFonts w:cs="Arial"/>
        </w:rPr>
        <w:t xml:space="preserve">Meanwhile, as an immediate solution Usec. Moya suggested requiring the validating/oversight agencies to report to the TWG in the subsequent meetings (perhaps in January or February 2016) – their report may be about their learnings from their field visit, back check or ocular.  Validating/oversight agencies also have the option to get a third party validator or do the validation themselves by actually going to the field or by partnering with </w:t>
      </w:r>
      <w:r w:rsidRPr="00987336">
        <w:rPr>
          <w:rFonts w:cs="Arial"/>
        </w:rPr>
        <w:lastRenderedPageBreak/>
        <w:t xml:space="preserve">CSOs, so long as the process </w:t>
      </w:r>
      <w:r w:rsidR="00FF433E" w:rsidRPr="00987336">
        <w:rPr>
          <w:rFonts w:cs="Arial"/>
        </w:rPr>
        <w:t>was</w:t>
      </w:r>
      <w:r w:rsidRPr="00987336">
        <w:rPr>
          <w:rFonts w:cs="Arial"/>
        </w:rPr>
        <w:t xml:space="preserve"> part of a validating mechanism to confirm that what the agencies submit are true and valid.</w:t>
      </w:r>
    </w:p>
    <w:p w:rsidR="00FF433E" w:rsidRPr="00FF433E" w:rsidRDefault="00FF433E" w:rsidP="00FF433E">
      <w:pPr>
        <w:pStyle w:val="ListParagraph"/>
        <w:rPr>
          <w:rFonts w:cs="Arial"/>
        </w:rPr>
      </w:pPr>
    </w:p>
    <w:p w:rsidR="00FF433E" w:rsidRPr="00FF433E" w:rsidRDefault="00AE3CD0" w:rsidP="00FF433E">
      <w:pPr>
        <w:pStyle w:val="ListParagraph"/>
        <w:numPr>
          <w:ilvl w:val="0"/>
          <w:numId w:val="8"/>
        </w:numPr>
        <w:spacing w:after="0" w:line="240" w:lineRule="auto"/>
        <w:jc w:val="both"/>
        <w:outlineLvl w:val="0"/>
        <w:rPr>
          <w:lang w:val="en-US"/>
        </w:rPr>
      </w:pPr>
      <w:r w:rsidRPr="00FF433E">
        <w:rPr>
          <w:rFonts w:cs="Arial"/>
        </w:rPr>
        <w:t>Meanwhile, on the matter of CSOs, Asec. Guillerma Flores shared that there are some CSOs that are also invited during the bidding process.  However, some of them cannot participate as they are constricted by the lack of means of transportation.  Also, they may have to spend time in preparing reports.  For her, involving the CSOs might entail cost.</w:t>
      </w:r>
    </w:p>
    <w:p w:rsidR="00FF433E" w:rsidRPr="00FF433E" w:rsidRDefault="00FF433E" w:rsidP="00FF433E">
      <w:pPr>
        <w:pStyle w:val="ListParagraph"/>
        <w:rPr>
          <w:rFonts w:cs="Arial"/>
        </w:rPr>
      </w:pPr>
    </w:p>
    <w:p w:rsidR="00FF433E" w:rsidRPr="00FF433E" w:rsidRDefault="00AE3CD0" w:rsidP="00FF433E">
      <w:pPr>
        <w:pStyle w:val="ListParagraph"/>
        <w:numPr>
          <w:ilvl w:val="0"/>
          <w:numId w:val="8"/>
        </w:numPr>
        <w:spacing w:after="0" w:line="240" w:lineRule="auto"/>
        <w:jc w:val="both"/>
        <w:outlineLvl w:val="0"/>
        <w:rPr>
          <w:lang w:val="en-US"/>
        </w:rPr>
      </w:pPr>
      <w:r w:rsidRPr="00FF433E">
        <w:rPr>
          <w:rFonts w:cs="Arial"/>
        </w:rPr>
        <w:t>Usec. Moya agreed and pointed out three things:</w:t>
      </w:r>
      <w:r w:rsidR="00FF433E">
        <w:rPr>
          <w:rFonts w:cs="Arial"/>
        </w:rPr>
        <w:t xml:space="preserve"> first, t</w:t>
      </w:r>
      <w:r w:rsidRPr="00FF433E">
        <w:rPr>
          <w:rFonts w:cs="Arial"/>
        </w:rPr>
        <w:t>he process of validating the accomplishments and compliances of the age</w:t>
      </w:r>
      <w:r w:rsidR="00C50855">
        <w:rPr>
          <w:rFonts w:cs="Arial"/>
        </w:rPr>
        <w:t>ncies are a government function. S</w:t>
      </w:r>
      <w:r w:rsidR="00FF433E">
        <w:rPr>
          <w:rFonts w:cs="Arial"/>
        </w:rPr>
        <w:t>econd, i</w:t>
      </w:r>
      <w:r w:rsidRPr="00FF433E">
        <w:rPr>
          <w:rFonts w:cs="Arial"/>
        </w:rPr>
        <w:t xml:space="preserve">t would not be easy to </w:t>
      </w:r>
      <w:r w:rsidR="003264FB">
        <w:t>flow the money from NG to CSOs. L</w:t>
      </w:r>
      <w:r w:rsidR="00FF433E">
        <w:t>astly, m</w:t>
      </w:r>
      <w:r>
        <w:t xml:space="preserve">any CSOs </w:t>
      </w:r>
      <w:r w:rsidR="00FF433E">
        <w:t>we</w:t>
      </w:r>
      <w:r>
        <w:t>re there for advocacy.  So if the government can tap the CSOs and harness them based on mutually acceptable agreement, then perhaps the TWG may involve them as third party validators.</w:t>
      </w:r>
    </w:p>
    <w:p w:rsidR="00FF433E" w:rsidRPr="00FF433E" w:rsidRDefault="00FF433E" w:rsidP="00FF433E">
      <w:pPr>
        <w:pStyle w:val="ListParagraph"/>
        <w:rPr>
          <w:rFonts w:cs="Arial"/>
        </w:rPr>
      </w:pPr>
    </w:p>
    <w:p w:rsidR="00FF433E" w:rsidRPr="00FF433E" w:rsidRDefault="00AE3CD0" w:rsidP="00FF433E">
      <w:pPr>
        <w:pStyle w:val="ListParagraph"/>
        <w:numPr>
          <w:ilvl w:val="0"/>
          <w:numId w:val="8"/>
        </w:numPr>
        <w:spacing w:after="0" w:line="240" w:lineRule="auto"/>
        <w:jc w:val="both"/>
        <w:outlineLvl w:val="0"/>
        <w:rPr>
          <w:lang w:val="en-US"/>
        </w:rPr>
      </w:pPr>
      <w:r w:rsidRPr="00FF433E">
        <w:rPr>
          <w:rFonts w:cs="Arial"/>
        </w:rPr>
        <w:t xml:space="preserve">Moving forward, </w:t>
      </w:r>
      <w:r>
        <w:t>other than the CSOs, third party outside of government may also be utilized.  He also suggested that perhaps there should be a plantilla position in the government that will do the auditing or independent validation.  He added that, to some degree the government is allowed to provide for honorarium or maybe some transportation cost, but this is to be confirmed.</w:t>
      </w:r>
    </w:p>
    <w:p w:rsidR="00FF433E" w:rsidRDefault="00FF433E" w:rsidP="00FF433E">
      <w:pPr>
        <w:pStyle w:val="ListParagraph"/>
      </w:pPr>
    </w:p>
    <w:p w:rsidR="00AE3CD0" w:rsidRPr="00FF433E" w:rsidRDefault="00AE3CD0" w:rsidP="00FF433E">
      <w:pPr>
        <w:pStyle w:val="ListParagraph"/>
        <w:numPr>
          <w:ilvl w:val="0"/>
          <w:numId w:val="8"/>
        </w:numPr>
        <w:spacing w:after="0" w:line="240" w:lineRule="auto"/>
        <w:jc w:val="both"/>
        <w:outlineLvl w:val="0"/>
        <w:rPr>
          <w:lang w:val="en-US"/>
        </w:rPr>
      </w:pPr>
      <w:r>
        <w:t>In closing, Usec. Moya said that the bigger issue and the real management organizational issue is to have a process of verification whether it is for PBB or for the regular mandate of the validating/oversight agencies.  But specific to the PBB, the significant matter to be decided is that there should be some credibility on the approved validation and assessment of the agencies submissions.</w:t>
      </w:r>
    </w:p>
    <w:p w:rsidR="00AE3CD0" w:rsidRPr="00AE3CD0" w:rsidRDefault="00AE3CD0" w:rsidP="00AE3CD0">
      <w:pPr>
        <w:pStyle w:val="ListParagraph"/>
        <w:spacing w:after="0"/>
        <w:rPr>
          <w:rFonts w:cs="Arial"/>
        </w:rPr>
      </w:pPr>
    </w:p>
    <w:p w:rsidR="00AE3CD0" w:rsidRPr="00EE591D" w:rsidRDefault="00AE3CD0" w:rsidP="00AE3CD0">
      <w:pPr>
        <w:spacing w:after="0" w:line="240" w:lineRule="auto"/>
        <w:jc w:val="both"/>
        <w:rPr>
          <w:rFonts w:eastAsia="Times New Roman" w:cs="Arial"/>
          <w:b/>
          <w:lang w:eastAsia="en-PH"/>
        </w:rPr>
      </w:pPr>
      <w:r w:rsidRPr="00EE591D">
        <w:rPr>
          <w:rFonts w:eastAsia="Times New Roman" w:cs="Arial"/>
          <w:b/>
          <w:lang w:eastAsia="en-PH"/>
        </w:rPr>
        <w:t xml:space="preserve">AGREEMENTS: </w:t>
      </w:r>
    </w:p>
    <w:p w:rsidR="00EE591D" w:rsidRDefault="00EE591D" w:rsidP="008D0A27">
      <w:pPr>
        <w:pStyle w:val="ListParagraph"/>
        <w:numPr>
          <w:ilvl w:val="0"/>
          <w:numId w:val="15"/>
        </w:numPr>
        <w:spacing w:after="0" w:line="240" w:lineRule="auto"/>
        <w:jc w:val="both"/>
        <w:rPr>
          <w:rFonts w:eastAsia="Times New Roman" w:cs="Arial"/>
          <w:lang w:val="en-US" w:eastAsia="en-PH"/>
        </w:rPr>
      </w:pPr>
      <w:r>
        <w:rPr>
          <w:rFonts w:eastAsia="Times New Roman" w:cs="Arial"/>
          <w:lang w:val="en-US" w:eastAsia="en-PH"/>
        </w:rPr>
        <w:t xml:space="preserve">In addition to the two guiding principles in the guidelines ensuring the quality of validation for FY 2015 PBB, oversight agencies may also be allowed to appeal in behalf of the agencies they supervise.  </w:t>
      </w:r>
    </w:p>
    <w:p w:rsidR="00EE591D" w:rsidRPr="00EE591D" w:rsidRDefault="00EE591D" w:rsidP="00EE591D">
      <w:pPr>
        <w:pStyle w:val="ListParagraph"/>
        <w:spacing w:after="0" w:line="240" w:lineRule="auto"/>
        <w:jc w:val="both"/>
        <w:rPr>
          <w:rFonts w:eastAsia="Times New Roman" w:cs="Arial"/>
          <w:lang w:val="en-US" w:eastAsia="en-PH"/>
        </w:rPr>
      </w:pPr>
    </w:p>
    <w:p w:rsidR="00AE3CD0" w:rsidRPr="00EE591D" w:rsidRDefault="00AE3CD0" w:rsidP="008D0A27">
      <w:pPr>
        <w:pStyle w:val="ListParagraph"/>
        <w:numPr>
          <w:ilvl w:val="0"/>
          <w:numId w:val="15"/>
        </w:numPr>
        <w:spacing w:after="0" w:line="240" w:lineRule="auto"/>
        <w:jc w:val="both"/>
        <w:rPr>
          <w:rFonts w:eastAsia="Times New Roman" w:cs="Arial"/>
          <w:lang w:val="en-US" w:eastAsia="en-PH"/>
        </w:rPr>
      </w:pPr>
      <w:r w:rsidRPr="00EE591D">
        <w:rPr>
          <w:rFonts w:cs="Arial"/>
        </w:rPr>
        <w:t>The proposed guidelines ensuring the quality of validation/assessment of the FY2015 PBB requirements should be translated to a draft for signature of the TWG Chair and for distribution to the TWG members.</w:t>
      </w:r>
    </w:p>
    <w:p w:rsidR="00AE3CD0" w:rsidRPr="00AE3CD0" w:rsidRDefault="00AE3CD0" w:rsidP="00AE3CD0">
      <w:pPr>
        <w:pStyle w:val="ListParagraph"/>
        <w:tabs>
          <w:tab w:val="left" w:pos="2063"/>
        </w:tabs>
        <w:spacing w:after="0"/>
        <w:ind w:left="1800"/>
        <w:rPr>
          <w:rFonts w:cs="Arial"/>
        </w:rPr>
      </w:pPr>
      <w:r w:rsidRPr="00AE3CD0">
        <w:rPr>
          <w:rFonts w:cs="Arial"/>
        </w:rPr>
        <w:t xml:space="preserve"> </w:t>
      </w:r>
    </w:p>
    <w:p w:rsidR="00F30105" w:rsidRPr="006373BB" w:rsidRDefault="005B12B0" w:rsidP="005B12B0">
      <w:pPr>
        <w:spacing w:after="0" w:line="240" w:lineRule="auto"/>
        <w:outlineLvl w:val="0"/>
        <w:rPr>
          <w:rFonts w:eastAsia="Times New Roman" w:cs="Arial"/>
          <w:b/>
          <w:lang w:val="en-US" w:eastAsia="en-PH"/>
        </w:rPr>
      </w:pPr>
      <w:r>
        <w:rPr>
          <w:rFonts w:eastAsia="Times New Roman" w:cs="Arial"/>
          <w:b/>
          <w:lang w:val="en-US" w:eastAsia="en-PH"/>
        </w:rPr>
        <w:t>4.5 SPECIAL NON-MONETARY RECOGNITION</w:t>
      </w:r>
    </w:p>
    <w:p w:rsidR="00AE3CD0" w:rsidRPr="00AE3CD0" w:rsidRDefault="00AE3CD0" w:rsidP="008D0A27">
      <w:pPr>
        <w:pStyle w:val="ListParagraph"/>
        <w:numPr>
          <w:ilvl w:val="0"/>
          <w:numId w:val="15"/>
        </w:numPr>
        <w:rPr>
          <w:rFonts w:cs="Arial"/>
        </w:rPr>
      </w:pPr>
      <w:r>
        <w:rPr>
          <w:rFonts w:cs="Arial"/>
        </w:rPr>
        <w:t>SVP Mendoza raised that</w:t>
      </w:r>
      <w:r w:rsidR="00EE591D">
        <w:rPr>
          <w:rFonts w:cs="Arial"/>
        </w:rPr>
        <w:t xml:space="preserve"> there</w:t>
      </w:r>
      <w:r>
        <w:rPr>
          <w:rFonts w:cs="Arial"/>
        </w:rPr>
        <w:t xml:space="preserve"> </w:t>
      </w:r>
      <w:r>
        <w:t>was a suggestion during the second cycle of the PBB to give special non-monetary recognition to the deserving institutions or individuals as far as their performance is concerned.   She explained that there were two tracks that were being proposed:</w:t>
      </w:r>
    </w:p>
    <w:p w:rsidR="00501EDA" w:rsidRPr="00501EDA" w:rsidRDefault="00501EDA" w:rsidP="008D0A27">
      <w:pPr>
        <w:pStyle w:val="ListParagraph"/>
        <w:numPr>
          <w:ilvl w:val="3"/>
          <w:numId w:val="19"/>
        </w:numPr>
        <w:spacing w:after="0"/>
        <w:ind w:left="1440"/>
        <w:contextualSpacing w:val="0"/>
        <w:rPr>
          <w:rFonts w:cs="Arial"/>
        </w:rPr>
      </w:pPr>
      <w:r>
        <w:t>Recognition for outstanding agencies  that are diligently complying with the requirements of the PBB;</w:t>
      </w:r>
    </w:p>
    <w:p w:rsidR="00AE3CD0" w:rsidRPr="00501EDA" w:rsidRDefault="00501EDA" w:rsidP="008D0A27">
      <w:pPr>
        <w:pStyle w:val="ListParagraph"/>
        <w:numPr>
          <w:ilvl w:val="3"/>
          <w:numId w:val="19"/>
        </w:numPr>
        <w:spacing w:after="0"/>
        <w:ind w:left="1440"/>
        <w:contextualSpacing w:val="0"/>
        <w:rPr>
          <w:rFonts w:cs="Arial"/>
        </w:rPr>
      </w:pPr>
      <w:r>
        <w:t>Recognition for the best of the best individuals.</w:t>
      </w:r>
      <w:r w:rsidR="00AE3CD0" w:rsidRPr="00501EDA">
        <w:rPr>
          <w:rFonts w:cs="Arial"/>
        </w:rPr>
        <w:t xml:space="preserve"> </w:t>
      </w:r>
    </w:p>
    <w:p w:rsidR="00AE3CD0" w:rsidRDefault="00501EDA" w:rsidP="00501EDA">
      <w:pPr>
        <w:pStyle w:val="ListParagraph"/>
        <w:rPr>
          <w:rFonts w:cs="Arial"/>
        </w:rPr>
      </w:pPr>
      <w:r>
        <w:rPr>
          <w:rFonts w:cs="Arial"/>
        </w:rPr>
        <w:t xml:space="preserve"> </w:t>
      </w:r>
    </w:p>
    <w:p w:rsidR="00501EDA" w:rsidRPr="00501EDA" w:rsidRDefault="00501EDA" w:rsidP="008D0A27">
      <w:pPr>
        <w:pStyle w:val="ListParagraph"/>
        <w:numPr>
          <w:ilvl w:val="0"/>
          <w:numId w:val="15"/>
        </w:numPr>
        <w:rPr>
          <w:rFonts w:cs="Arial"/>
        </w:rPr>
      </w:pPr>
      <w:r>
        <w:t xml:space="preserve">Usec. Moya then instructed the AO 25 Secretariat to do a concept paper on this for the review and agreement of the TWG.  He also suggested for the CSC to take the lead.  He also suggested that perhaps there could be an event wherein these awards could be personally </w:t>
      </w:r>
      <w:r>
        <w:lastRenderedPageBreak/>
        <w:t>handed by the IATF members to the recipients.  The awards may also be grouped so that the Task Force members will have sections to award and recognize.</w:t>
      </w:r>
    </w:p>
    <w:p w:rsidR="00501EDA" w:rsidRPr="00501EDA" w:rsidRDefault="00501EDA" w:rsidP="00501EDA">
      <w:pPr>
        <w:pStyle w:val="ListParagraph"/>
        <w:rPr>
          <w:rFonts w:cs="Arial"/>
        </w:rPr>
      </w:pPr>
      <w:r>
        <w:t xml:space="preserve"> </w:t>
      </w:r>
    </w:p>
    <w:p w:rsidR="00AE3CD0" w:rsidRPr="00501EDA" w:rsidRDefault="00501EDA" w:rsidP="008D0A27">
      <w:pPr>
        <w:pStyle w:val="ListParagraph"/>
        <w:numPr>
          <w:ilvl w:val="0"/>
          <w:numId w:val="15"/>
        </w:numPr>
        <w:rPr>
          <w:rFonts w:cs="Arial"/>
        </w:rPr>
      </w:pPr>
      <w:r>
        <w:t>Asec. Nuque also raised some suggestions</w:t>
      </w:r>
      <w:r w:rsidR="00EE591D">
        <w:t xml:space="preserve"> as to the recognition to be awarded.  These are:</w:t>
      </w:r>
    </w:p>
    <w:p w:rsidR="00501EDA" w:rsidRPr="00501EDA" w:rsidRDefault="00501EDA" w:rsidP="008D0A27">
      <w:pPr>
        <w:pStyle w:val="ListParagraph"/>
        <w:numPr>
          <w:ilvl w:val="0"/>
          <w:numId w:val="21"/>
        </w:numPr>
        <w:spacing w:after="0"/>
        <w:ind w:left="1440"/>
        <w:contextualSpacing w:val="0"/>
        <w:rPr>
          <w:rFonts w:cs="Arial"/>
        </w:rPr>
      </w:pPr>
      <w:r>
        <w:t>Recognition for outstanding agencies  that are diligently complying with the requirements of the PBB;</w:t>
      </w:r>
    </w:p>
    <w:p w:rsidR="00501EDA" w:rsidRPr="00501EDA" w:rsidRDefault="00501EDA" w:rsidP="008D0A27">
      <w:pPr>
        <w:pStyle w:val="ListParagraph"/>
        <w:numPr>
          <w:ilvl w:val="0"/>
          <w:numId w:val="21"/>
        </w:numPr>
        <w:spacing w:after="0"/>
        <w:ind w:left="1440"/>
        <w:contextualSpacing w:val="0"/>
        <w:rPr>
          <w:rFonts w:cs="Arial"/>
        </w:rPr>
      </w:pPr>
      <w:r>
        <w:t>Recognition for the best of the best individuals.</w:t>
      </w:r>
      <w:r w:rsidRPr="00501EDA">
        <w:rPr>
          <w:rFonts w:cs="Arial"/>
        </w:rPr>
        <w:t xml:space="preserve"> </w:t>
      </w:r>
    </w:p>
    <w:p w:rsidR="00501EDA" w:rsidRDefault="00501EDA" w:rsidP="00501EDA">
      <w:pPr>
        <w:spacing w:after="0"/>
      </w:pPr>
    </w:p>
    <w:p w:rsidR="00501EDA" w:rsidRPr="00501EDA" w:rsidRDefault="00501EDA" w:rsidP="008D0A27">
      <w:pPr>
        <w:pStyle w:val="ListParagraph"/>
        <w:numPr>
          <w:ilvl w:val="0"/>
          <w:numId w:val="22"/>
        </w:numPr>
        <w:spacing w:after="0"/>
        <w:rPr>
          <w:rFonts w:cs="Arial"/>
        </w:rPr>
      </w:pPr>
      <w:r>
        <w:rPr>
          <w:rFonts w:cs="Arial"/>
        </w:rPr>
        <w:t xml:space="preserve">In addition to the suggestion of Asec. Nuque, Usec. Moya shared that perhaps the TWG can adopt the mechanics of the OGP awards which the Philippines won last year.  Perhaps, there could be a mechanism wherein those who want to nominate specific programs or agencies may do so.  Then the TWG will just have to </w:t>
      </w:r>
      <w:r>
        <w:t>select a jury of credible group or search committee. For the individuals, he suggested that perhaps, a PBB-related award can be added in the recognitions for outstanding civil servants.</w:t>
      </w:r>
    </w:p>
    <w:p w:rsidR="00501EDA" w:rsidRPr="00501EDA" w:rsidRDefault="00501EDA" w:rsidP="00501EDA">
      <w:pPr>
        <w:pStyle w:val="ListParagraph"/>
        <w:spacing w:after="0"/>
        <w:rPr>
          <w:rFonts w:cs="Arial"/>
        </w:rPr>
      </w:pPr>
      <w:r>
        <w:t xml:space="preserve"> </w:t>
      </w:r>
    </w:p>
    <w:p w:rsidR="00501EDA" w:rsidRPr="00501EDA" w:rsidRDefault="00501EDA" w:rsidP="008D0A27">
      <w:pPr>
        <w:pStyle w:val="ListParagraph"/>
        <w:numPr>
          <w:ilvl w:val="0"/>
          <w:numId w:val="22"/>
        </w:numPr>
        <w:spacing w:after="0"/>
        <w:rPr>
          <w:rFonts w:cs="Arial"/>
        </w:rPr>
      </w:pPr>
      <w:r>
        <w:t>Comm. Osorio responded that CSC is already in the process of completing the honor awards program for this year, but they will look at it.</w:t>
      </w:r>
    </w:p>
    <w:p w:rsidR="00501EDA" w:rsidRDefault="00501EDA" w:rsidP="00501EDA">
      <w:pPr>
        <w:pStyle w:val="ListParagraph"/>
        <w:spacing w:after="0"/>
        <w:ind w:left="1440"/>
        <w:contextualSpacing w:val="0"/>
        <w:rPr>
          <w:rFonts w:cs="Arial"/>
        </w:rPr>
      </w:pPr>
    </w:p>
    <w:p w:rsidR="000C12D2" w:rsidRPr="00EE591D" w:rsidRDefault="000C12D2" w:rsidP="00EE591D">
      <w:pPr>
        <w:spacing w:after="0" w:line="240" w:lineRule="auto"/>
        <w:ind w:left="360"/>
        <w:jc w:val="both"/>
        <w:rPr>
          <w:rFonts w:eastAsia="Times New Roman" w:cs="Arial"/>
          <w:b/>
          <w:lang w:eastAsia="en-PH"/>
        </w:rPr>
      </w:pPr>
      <w:r w:rsidRPr="00EE591D">
        <w:rPr>
          <w:rFonts w:eastAsia="Times New Roman" w:cs="Arial"/>
          <w:b/>
          <w:lang w:eastAsia="en-PH"/>
        </w:rPr>
        <w:t xml:space="preserve">AGREEMENTS: </w:t>
      </w:r>
    </w:p>
    <w:p w:rsidR="000C12D2" w:rsidRPr="00EE591D" w:rsidRDefault="000C12D2" w:rsidP="008D0A27">
      <w:pPr>
        <w:pStyle w:val="ListParagraph"/>
        <w:numPr>
          <w:ilvl w:val="0"/>
          <w:numId w:val="37"/>
        </w:numPr>
        <w:spacing w:after="0" w:line="240" w:lineRule="auto"/>
        <w:jc w:val="both"/>
        <w:rPr>
          <w:lang w:val="en-US"/>
        </w:rPr>
      </w:pPr>
      <w:r w:rsidRPr="00EE591D">
        <w:rPr>
          <w:rFonts w:cs="Arial"/>
        </w:rPr>
        <w:t>Conceptualize special recognition (non-monetary) to deserving institution and individuals with CSC to take the lead</w:t>
      </w:r>
    </w:p>
    <w:p w:rsidR="000C12D2" w:rsidRDefault="000C12D2" w:rsidP="00501EDA">
      <w:pPr>
        <w:pStyle w:val="ListParagraph"/>
        <w:spacing w:after="0"/>
        <w:ind w:left="1440"/>
        <w:contextualSpacing w:val="0"/>
        <w:rPr>
          <w:rFonts w:cs="Arial"/>
        </w:rPr>
      </w:pPr>
    </w:p>
    <w:p w:rsidR="000C12D2" w:rsidRPr="00E46A59" w:rsidRDefault="000C12D2" w:rsidP="00717CDF">
      <w:pPr>
        <w:pStyle w:val="ListParagraph"/>
        <w:numPr>
          <w:ilvl w:val="0"/>
          <w:numId w:val="3"/>
        </w:numPr>
        <w:tabs>
          <w:tab w:val="left" w:pos="0"/>
          <w:tab w:val="left" w:pos="270"/>
        </w:tabs>
        <w:spacing w:after="0" w:line="240" w:lineRule="auto"/>
        <w:ind w:left="360"/>
        <w:jc w:val="both"/>
        <w:rPr>
          <w:b/>
        </w:rPr>
      </w:pPr>
      <w:r w:rsidRPr="00E46A59">
        <w:rPr>
          <w:b/>
        </w:rPr>
        <w:t>ADJOURNMENT</w:t>
      </w:r>
    </w:p>
    <w:p w:rsidR="000C12D2" w:rsidRPr="000C12D2" w:rsidRDefault="000C12D2" w:rsidP="008D0A27">
      <w:pPr>
        <w:pStyle w:val="ListParagraph"/>
        <w:numPr>
          <w:ilvl w:val="0"/>
          <w:numId w:val="37"/>
        </w:numPr>
        <w:spacing w:after="0"/>
        <w:rPr>
          <w:rFonts w:cs="Arial"/>
        </w:rPr>
      </w:pPr>
      <w:r w:rsidRPr="000C406E">
        <w:t xml:space="preserve">The meeting </w:t>
      </w:r>
      <w:r>
        <w:t>was</w:t>
      </w:r>
      <w:r w:rsidRPr="000C406E">
        <w:t xml:space="preserve"> adjourned at </w:t>
      </w:r>
      <w:r>
        <w:t>3:48 PM</w:t>
      </w:r>
      <w:r w:rsidRPr="000C406E">
        <w:t>.</w:t>
      </w:r>
    </w:p>
    <w:p w:rsidR="000C12D2" w:rsidRDefault="000C12D2" w:rsidP="000C12D2">
      <w:pPr>
        <w:pStyle w:val="ListParagraph"/>
        <w:spacing w:after="0"/>
        <w:rPr>
          <w:rFonts w:cs="Arial"/>
        </w:rPr>
      </w:pPr>
    </w:p>
    <w:p w:rsidR="00535176" w:rsidRDefault="00535176" w:rsidP="000C12D2">
      <w:pPr>
        <w:pStyle w:val="ListParagraph"/>
        <w:spacing w:after="0"/>
        <w:rPr>
          <w:rFonts w:cs="Arial"/>
        </w:rPr>
      </w:pPr>
    </w:p>
    <w:p w:rsidR="00535176" w:rsidRDefault="00535176" w:rsidP="00535176">
      <w:pPr>
        <w:spacing w:after="0" w:line="240" w:lineRule="auto"/>
        <w:jc w:val="both"/>
      </w:pPr>
      <w:r>
        <w:rPr>
          <w:rFonts w:cs="Tahoma"/>
        </w:rPr>
        <w:t>Prepared by:</w:t>
      </w:r>
    </w:p>
    <w:p w:rsidR="00535176" w:rsidRDefault="00535176" w:rsidP="00535176">
      <w:pPr>
        <w:spacing w:after="0" w:line="240" w:lineRule="auto"/>
        <w:jc w:val="both"/>
      </w:pPr>
    </w:p>
    <w:p w:rsidR="00535176" w:rsidRPr="00535176" w:rsidRDefault="00535176" w:rsidP="00535176">
      <w:pPr>
        <w:spacing w:after="0"/>
        <w:rPr>
          <w:rFonts w:cs="Arial"/>
        </w:rPr>
      </w:pPr>
      <w:r w:rsidRPr="00535176">
        <w:rPr>
          <w:rFonts w:cs="Tahoma"/>
        </w:rPr>
        <w:t>AO25 Technical Secretariat</w:t>
      </w:r>
    </w:p>
    <w:p w:rsidR="000C12D2" w:rsidRDefault="000C12D2" w:rsidP="00717CDF">
      <w:pPr>
        <w:pStyle w:val="ListParagraph"/>
        <w:suppressLineNumbers/>
        <w:tabs>
          <w:tab w:val="left" w:pos="270"/>
        </w:tabs>
        <w:spacing w:after="0"/>
        <w:ind w:left="0" w:firstLine="720"/>
        <w:rPr>
          <w:rFonts w:cs="Arial"/>
        </w:rPr>
      </w:pPr>
    </w:p>
    <w:sectPr w:rsidR="000C12D2" w:rsidSect="005A1152">
      <w:headerReference w:type="even" r:id="rId14"/>
      <w:headerReference w:type="default" r:id="rId15"/>
      <w:footerReference w:type="even" r:id="rId16"/>
      <w:footerReference w:type="default" r:id="rId17"/>
      <w:headerReference w:type="first" r:id="rId18"/>
      <w:footerReference w:type="first" r:id="rId19"/>
      <w:pgSz w:w="11909" w:h="16834"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9F" w:rsidRDefault="00A7309F" w:rsidP="00B24A93">
      <w:pPr>
        <w:spacing w:after="0" w:line="240" w:lineRule="auto"/>
      </w:pPr>
      <w:r>
        <w:separator/>
      </w:r>
    </w:p>
  </w:endnote>
  <w:endnote w:type="continuationSeparator" w:id="0">
    <w:p w:rsidR="00A7309F" w:rsidRDefault="00A7309F" w:rsidP="00B2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52" w:rsidRDefault="005A1152">
    <w:pPr>
      <w:pStyle w:val="Footer"/>
      <w:jc w:val="right"/>
    </w:pPr>
  </w:p>
  <w:p w:rsidR="00CB06BB" w:rsidRDefault="00CB0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83089"/>
      <w:docPartObj>
        <w:docPartGallery w:val="Page Numbers (Bottom of Page)"/>
        <w:docPartUnique/>
      </w:docPartObj>
    </w:sdtPr>
    <w:sdtEndPr>
      <w:rPr>
        <w:noProof/>
      </w:rPr>
    </w:sdtEndPr>
    <w:sdtContent>
      <w:p w:rsidR="00C108DC" w:rsidRDefault="00C108D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F2C51" w:rsidRDefault="009F2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B" w:rsidRDefault="00CB06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706841"/>
      <w:docPartObj>
        <w:docPartGallery w:val="Page Numbers (Bottom of Page)"/>
        <w:docPartUnique/>
      </w:docPartObj>
    </w:sdtPr>
    <w:sdtEndPr>
      <w:rPr>
        <w:noProof/>
      </w:rPr>
    </w:sdtEndPr>
    <w:sdtContent>
      <w:p w:rsidR="009F2C51" w:rsidRDefault="009F2C51">
        <w:pPr>
          <w:pStyle w:val="Footer"/>
          <w:jc w:val="right"/>
        </w:pPr>
        <w:r>
          <w:fldChar w:fldCharType="begin"/>
        </w:r>
        <w:r>
          <w:instrText xml:space="preserve"> PAGE   \* MERGEFORMAT </w:instrText>
        </w:r>
        <w:r>
          <w:fldChar w:fldCharType="separate"/>
        </w:r>
        <w:r w:rsidR="00584200">
          <w:rPr>
            <w:noProof/>
          </w:rPr>
          <w:t>4</w:t>
        </w:r>
        <w:r>
          <w:rPr>
            <w:noProof/>
          </w:rPr>
          <w:fldChar w:fldCharType="end"/>
        </w:r>
      </w:p>
    </w:sdtContent>
  </w:sdt>
  <w:p w:rsidR="00CB06BB" w:rsidRDefault="00CB06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B" w:rsidRDefault="00CB0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9F" w:rsidRDefault="00A7309F" w:rsidP="00B24A93">
      <w:pPr>
        <w:spacing w:after="0" w:line="240" w:lineRule="auto"/>
      </w:pPr>
      <w:r>
        <w:separator/>
      </w:r>
    </w:p>
  </w:footnote>
  <w:footnote w:type="continuationSeparator" w:id="0">
    <w:p w:rsidR="00A7309F" w:rsidRDefault="00A7309F" w:rsidP="00B24A93">
      <w:pPr>
        <w:spacing w:after="0" w:line="240" w:lineRule="auto"/>
      </w:pPr>
      <w:r>
        <w:continuationSeparator/>
      </w:r>
    </w:p>
  </w:footnote>
  <w:footnote w:id="1">
    <w:p w:rsidR="00CB06BB" w:rsidRPr="00724826" w:rsidRDefault="00CB06BB" w:rsidP="00724826">
      <w:pPr>
        <w:pStyle w:val="FootnoteText"/>
        <w:rPr>
          <w:lang w:val="en-US"/>
        </w:rPr>
      </w:pPr>
      <w:r>
        <w:rPr>
          <w:rStyle w:val="FootnoteReference"/>
        </w:rPr>
        <w:footnoteRef/>
      </w:r>
      <w:r>
        <w:t xml:space="preserve"> </w:t>
      </w:r>
      <w:r>
        <w:rPr>
          <w:lang w:val="en-US"/>
        </w:rPr>
        <w:t>In relation to PhilGEPS’ assessment of DepEd’s compliance on August 3, PhilGEPS was requested to validate DepEd even if its submission was still incomplete.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B" w:rsidRDefault="00CB0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B" w:rsidRDefault="00CB06BB" w:rsidP="00B24A93">
    <w:pPr>
      <w:spacing w:after="0" w:line="240" w:lineRule="auto"/>
      <w:jc w:val="both"/>
      <w:rPr>
        <w:rFonts w:cs="Arial"/>
        <w:noProof/>
        <w:sz w:val="24"/>
        <w:szCs w:val="24"/>
      </w:rPr>
    </w:pPr>
    <w:r w:rsidRPr="00BE5C84">
      <w:rPr>
        <w:rFonts w:cs="Arial"/>
        <w:noProof/>
        <w:lang w:eastAsia="en-PH"/>
      </w:rPr>
      <w:drawing>
        <wp:anchor distT="0" distB="0" distL="114300" distR="114300" simplePos="0" relativeHeight="251664384" behindDoc="1" locked="0" layoutInCell="1" allowOverlap="1" wp14:anchorId="3187A308" wp14:editId="3B864360">
          <wp:simplePos x="0" y="0"/>
          <wp:positionH relativeFrom="column">
            <wp:posOffset>4718050</wp:posOffset>
          </wp:positionH>
          <wp:positionV relativeFrom="paragraph">
            <wp:posOffset>-304800</wp:posOffset>
          </wp:positionV>
          <wp:extent cx="1012190" cy="988695"/>
          <wp:effectExtent l="0" t="0" r="0" b="1905"/>
          <wp:wrapTight wrapText="bothSides">
            <wp:wrapPolygon edited="0">
              <wp:start x="7317" y="0"/>
              <wp:lineTo x="4472" y="1249"/>
              <wp:lineTo x="0" y="5410"/>
              <wp:lineTo x="0" y="17896"/>
              <wp:lineTo x="2439" y="21225"/>
              <wp:lineTo x="2846" y="21225"/>
              <wp:lineTo x="18294" y="21225"/>
              <wp:lineTo x="18700" y="21225"/>
              <wp:lineTo x="21139" y="17480"/>
              <wp:lineTo x="21139" y="4994"/>
              <wp:lineTo x="16668" y="832"/>
              <wp:lineTo x="13822" y="0"/>
              <wp:lineTo x="7317"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2190" cy="988695"/>
                  </a:xfrm>
                  <a:prstGeom prst="rect">
                    <a:avLst/>
                  </a:prstGeom>
                  <a:noFill/>
                  <a:ln>
                    <a:noFill/>
                  </a:ln>
                </pic:spPr>
              </pic:pic>
            </a:graphicData>
          </a:graphic>
        </wp:anchor>
      </w:drawing>
    </w:r>
    <w:r>
      <w:rPr>
        <w:rFonts w:cs="Arial"/>
        <w:b/>
        <w:noProof/>
        <w:lang w:eastAsia="en-PH"/>
      </w:rPr>
      <w:drawing>
        <wp:anchor distT="0" distB="0" distL="114300" distR="114300" simplePos="0" relativeHeight="251667456" behindDoc="0" locked="0" layoutInCell="1" allowOverlap="1" wp14:anchorId="28D37FB6" wp14:editId="54D727AE">
          <wp:simplePos x="0" y="0"/>
          <wp:positionH relativeFrom="column">
            <wp:posOffset>3514725</wp:posOffset>
          </wp:positionH>
          <wp:positionV relativeFrom="paragraph">
            <wp:posOffset>-320675</wp:posOffset>
          </wp:positionV>
          <wp:extent cx="1025525" cy="1025525"/>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5525" cy="1025525"/>
                  </a:xfrm>
                  <a:prstGeom prst="rect">
                    <a:avLst/>
                  </a:prstGeom>
                  <a:noFill/>
                </pic:spPr>
              </pic:pic>
            </a:graphicData>
          </a:graphic>
        </wp:anchor>
      </w:drawing>
    </w:r>
    <w:r w:rsidRPr="00BE5C84">
      <w:rPr>
        <w:rFonts w:cs="Arial"/>
        <w:noProof/>
        <w:lang w:eastAsia="en-PH"/>
      </w:rPr>
      <w:drawing>
        <wp:anchor distT="0" distB="0" distL="114300" distR="114300" simplePos="0" relativeHeight="251665408" behindDoc="1" locked="0" layoutInCell="1" allowOverlap="1" wp14:anchorId="5D1A31C0" wp14:editId="50F37009">
          <wp:simplePos x="0" y="0"/>
          <wp:positionH relativeFrom="column">
            <wp:posOffset>2370455</wp:posOffset>
          </wp:positionH>
          <wp:positionV relativeFrom="paragraph">
            <wp:posOffset>-285750</wp:posOffset>
          </wp:positionV>
          <wp:extent cx="988695" cy="988695"/>
          <wp:effectExtent l="0" t="0" r="1905" b="1905"/>
          <wp:wrapTight wrapText="bothSides">
            <wp:wrapPolygon edited="0">
              <wp:start x="8740" y="0"/>
              <wp:lineTo x="6243" y="832"/>
              <wp:lineTo x="416" y="5827"/>
              <wp:lineTo x="416" y="15399"/>
              <wp:lineTo x="5410" y="20393"/>
              <wp:lineTo x="8740" y="21225"/>
              <wp:lineTo x="12902" y="21225"/>
              <wp:lineTo x="15815" y="20393"/>
              <wp:lineTo x="21225" y="14983"/>
              <wp:lineTo x="21225" y="8740"/>
              <wp:lineTo x="20809" y="5410"/>
              <wp:lineTo x="15399" y="832"/>
              <wp:lineTo x="12486" y="0"/>
              <wp:lineTo x="8740" y="0"/>
            </wp:wrapPolygon>
          </wp:wrapTight>
          <wp:docPr id="18" name="Picture 18" descr="OP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 (official).jpg"/>
                  <pic:cNvPicPr>
                    <a:picLocks noChangeAspect="1" noChangeArrowheads="1"/>
                  </pic:cNvPicPr>
                </pic:nvPicPr>
                <pic:blipFill>
                  <a:blip r:embed="rId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anchor>
      </w:drawing>
    </w:r>
    <w:r w:rsidRPr="00BE5C84">
      <w:rPr>
        <w:rFonts w:cs="Arial"/>
        <w:noProof/>
        <w:sz w:val="24"/>
        <w:szCs w:val="24"/>
        <w:lang w:eastAsia="en-PH"/>
      </w:rPr>
      <w:drawing>
        <wp:anchor distT="0" distB="0" distL="114300" distR="114300" simplePos="0" relativeHeight="251666432" behindDoc="0" locked="0" layoutInCell="1" allowOverlap="1" wp14:anchorId="261DE895" wp14:editId="64705167">
          <wp:simplePos x="0" y="0"/>
          <wp:positionH relativeFrom="column">
            <wp:posOffset>1177925</wp:posOffset>
          </wp:positionH>
          <wp:positionV relativeFrom="paragraph">
            <wp:posOffset>-319405</wp:posOffset>
          </wp:positionV>
          <wp:extent cx="1009650" cy="1033145"/>
          <wp:effectExtent l="0" t="0" r="0" b="0"/>
          <wp:wrapNone/>
          <wp:docPr id="19" name="Picture 19" descr="Letterhead%20DBM%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etterhead%20DBM%20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650" cy="1033145"/>
                  </a:xfrm>
                  <a:prstGeom prst="rect">
                    <a:avLst/>
                  </a:prstGeom>
                  <a:noFill/>
                  <a:ln>
                    <a:noFill/>
                  </a:ln>
                </pic:spPr>
              </pic:pic>
            </a:graphicData>
          </a:graphic>
        </wp:anchor>
      </w:drawing>
    </w:r>
    <w:r w:rsidRPr="00BE5C84">
      <w:rPr>
        <w:rFonts w:cs="Arial"/>
        <w:noProof/>
        <w:lang w:eastAsia="en-PH"/>
      </w:rPr>
      <w:drawing>
        <wp:anchor distT="0" distB="0" distL="114300" distR="114300" simplePos="0" relativeHeight="251663360" behindDoc="1" locked="0" layoutInCell="1" allowOverlap="1" wp14:anchorId="43EFBBE0" wp14:editId="5F0769F3">
          <wp:simplePos x="0" y="0"/>
          <wp:positionH relativeFrom="column">
            <wp:posOffset>-27940</wp:posOffset>
          </wp:positionH>
          <wp:positionV relativeFrom="paragraph">
            <wp:posOffset>-285750</wp:posOffset>
          </wp:positionV>
          <wp:extent cx="990600" cy="988695"/>
          <wp:effectExtent l="0" t="0" r="0" b="1905"/>
          <wp:wrapTight wrapText="bothSides">
            <wp:wrapPolygon edited="0">
              <wp:start x="0" y="0"/>
              <wp:lineTo x="0" y="21225"/>
              <wp:lineTo x="21185" y="21225"/>
              <wp:lineTo x="21185" y="0"/>
              <wp:lineTo x="0" y="0"/>
            </wp:wrapPolygon>
          </wp:wrapTight>
          <wp:docPr id="20" name="Picture 20" descr="NE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DA.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88695"/>
                  </a:xfrm>
                  <a:prstGeom prst="rect">
                    <a:avLst/>
                  </a:prstGeom>
                  <a:noFill/>
                  <a:ln>
                    <a:noFill/>
                  </a:ln>
                </pic:spPr>
              </pic:pic>
            </a:graphicData>
          </a:graphic>
        </wp:anchor>
      </w:drawing>
    </w:r>
  </w:p>
  <w:p w:rsidR="00CB06BB" w:rsidRDefault="00CB06BB" w:rsidP="00B24A93">
    <w:pPr>
      <w:spacing w:after="0" w:line="240" w:lineRule="auto"/>
      <w:jc w:val="both"/>
      <w:rPr>
        <w:rFonts w:cs="Arial"/>
        <w:noProof/>
        <w:sz w:val="24"/>
        <w:szCs w:val="24"/>
      </w:rPr>
    </w:pPr>
  </w:p>
  <w:p w:rsidR="00CB06BB" w:rsidRDefault="00CB06BB" w:rsidP="00B24A93">
    <w:pPr>
      <w:spacing w:after="0" w:line="240" w:lineRule="auto"/>
      <w:jc w:val="both"/>
      <w:rPr>
        <w:rFonts w:cs="Arial"/>
        <w:noProof/>
        <w:sz w:val="24"/>
        <w:szCs w:val="24"/>
      </w:rPr>
    </w:pPr>
  </w:p>
  <w:p w:rsidR="00CB06BB" w:rsidRPr="00BE5C84" w:rsidRDefault="00CB06BB" w:rsidP="00B24A93">
    <w:pPr>
      <w:spacing w:after="0" w:line="240" w:lineRule="auto"/>
      <w:jc w:val="both"/>
      <w:rPr>
        <w:rFonts w:cs="Arial"/>
        <w:noProof/>
        <w:sz w:val="24"/>
        <w:szCs w:val="24"/>
      </w:rPr>
    </w:pPr>
  </w:p>
  <w:p w:rsidR="00CB06BB" w:rsidRPr="00BE5C84" w:rsidRDefault="00CB06BB" w:rsidP="00B24A93">
    <w:pPr>
      <w:pBdr>
        <w:top w:val="single" w:sz="4" w:space="1" w:color="auto"/>
      </w:pBdr>
      <w:spacing w:after="0" w:line="240" w:lineRule="auto"/>
      <w:jc w:val="center"/>
      <w:rPr>
        <w:rFonts w:cs="Arial"/>
        <w:b/>
        <w:bCs/>
        <w:caps/>
        <w:sz w:val="18"/>
      </w:rPr>
    </w:pPr>
    <w:r w:rsidRPr="00BE5C84">
      <w:rPr>
        <w:rFonts w:cs="Arial"/>
        <w:b/>
        <w:bCs/>
        <w:caps/>
        <w:sz w:val="18"/>
      </w:rPr>
      <w:t>Inter-Agency Task Force on the Harmonization of</w:t>
    </w:r>
  </w:p>
  <w:p w:rsidR="00CB06BB" w:rsidRPr="00BE5C84" w:rsidRDefault="00CB06BB" w:rsidP="00B24A93">
    <w:pPr>
      <w:pStyle w:val="ListParagraph"/>
      <w:spacing w:after="0" w:line="240" w:lineRule="auto"/>
      <w:jc w:val="center"/>
      <w:rPr>
        <w:rFonts w:cs="Arial"/>
        <w:b/>
        <w:bCs/>
        <w:caps/>
        <w:sz w:val="18"/>
      </w:rPr>
    </w:pPr>
    <w:r w:rsidRPr="00BE5C84">
      <w:rPr>
        <w:rFonts w:cs="Arial"/>
        <w:b/>
        <w:bCs/>
        <w:caps/>
        <w:sz w:val="18"/>
      </w:rPr>
      <w:t>National Government Performance Monitoring, Information and Reporting Systems</w:t>
    </w:r>
  </w:p>
  <w:p w:rsidR="00CB06BB" w:rsidRPr="00BE5C84" w:rsidRDefault="00CB06BB" w:rsidP="00B24A93">
    <w:pPr>
      <w:pStyle w:val="ListParagraph"/>
      <w:pBdr>
        <w:bottom w:val="single" w:sz="4" w:space="1" w:color="auto"/>
      </w:pBdr>
      <w:spacing w:after="0" w:line="240" w:lineRule="auto"/>
      <w:ind w:left="0"/>
      <w:jc w:val="center"/>
      <w:rPr>
        <w:rFonts w:cs="Arial"/>
        <w:b/>
        <w:sz w:val="24"/>
        <w:szCs w:val="20"/>
        <w:lang w:val="en-US"/>
      </w:rPr>
    </w:pPr>
    <w:r w:rsidRPr="00BE5C84">
      <w:rPr>
        <w:rFonts w:cs="Arial"/>
        <w:iCs/>
        <w:sz w:val="16"/>
        <w:szCs w:val="18"/>
      </w:rPr>
      <w:t>(Administrative Order No. 25 S. 2011)</w:t>
    </w:r>
  </w:p>
  <w:p w:rsidR="00CB06BB" w:rsidRPr="00EB0947" w:rsidRDefault="00CB06BB" w:rsidP="00B24A93">
    <w:pPr>
      <w:pStyle w:val="ListParagraph"/>
      <w:spacing w:after="0" w:line="240" w:lineRule="auto"/>
      <w:jc w:val="center"/>
      <w:rPr>
        <w:rFonts w:cs="Arial"/>
        <w:b/>
        <w:lang w:val="en-US"/>
      </w:rPr>
    </w:pPr>
    <w:r w:rsidRPr="00EB0947">
      <w:rPr>
        <w:rFonts w:cs="Arial"/>
        <w:b/>
        <w:lang w:val="en-US"/>
      </w:rPr>
      <w:t xml:space="preserve">AO25 </w:t>
    </w:r>
    <w:r>
      <w:rPr>
        <w:rFonts w:cs="Arial"/>
        <w:b/>
        <w:lang w:val="en-US"/>
      </w:rPr>
      <w:t>Technical Working Group</w:t>
    </w:r>
    <w:r w:rsidRPr="00EB0947">
      <w:rPr>
        <w:rFonts w:cs="Arial"/>
        <w:b/>
        <w:lang w:val="en-US"/>
      </w:rPr>
      <w:t xml:space="preserve"> Meeting</w:t>
    </w:r>
  </w:p>
  <w:p w:rsidR="00CB06BB" w:rsidRPr="00EB0947" w:rsidRDefault="00CB06BB" w:rsidP="00B24A93">
    <w:pPr>
      <w:pStyle w:val="ListParagraph"/>
      <w:spacing w:after="0" w:line="240" w:lineRule="auto"/>
      <w:jc w:val="center"/>
      <w:rPr>
        <w:rFonts w:cs="Arial"/>
        <w:b/>
        <w:lang w:val="en-US"/>
      </w:rPr>
    </w:pPr>
    <w:r>
      <w:rPr>
        <w:rFonts w:cs="Arial"/>
        <w:b/>
        <w:lang w:val="en-US"/>
      </w:rPr>
      <w:t>August 18</w:t>
    </w:r>
    <w:r w:rsidRPr="00EB0947">
      <w:rPr>
        <w:rFonts w:cs="Arial"/>
        <w:b/>
        <w:lang w:val="en-US"/>
      </w:rPr>
      <w:t xml:space="preserve"> 2015, </w:t>
    </w:r>
    <w:r>
      <w:rPr>
        <w:rFonts w:cs="Arial"/>
        <w:b/>
        <w:lang w:val="en-US"/>
      </w:rPr>
      <w:t>2</w:t>
    </w:r>
    <w:r w:rsidRPr="00EB0947">
      <w:rPr>
        <w:rFonts w:cs="Arial"/>
        <w:b/>
        <w:lang w:val="en-US"/>
      </w:rPr>
      <w:t xml:space="preserve">:00 </w:t>
    </w:r>
    <w:r>
      <w:rPr>
        <w:rFonts w:cs="Arial"/>
        <w:b/>
        <w:lang w:val="en-US"/>
      </w:rPr>
      <w:t>P</w:t>
    </w:r>
    <w:r w:rsidRPr="00EB0947">
      <w:rPr>
        <w:rFonts w:cs="Arial"/>
        <w:b/>
        <w:lang w:val="en-US"/>
      </w:rPr>
      <w:t xml:space="preserve">M to </w:t>
    </w:r>
    <w:r>
      <w:rPr>
        <w:rFonts w:cs="Arial"/>
        <w:b/>
        <w:lang w:val="en-US"/>
      </w:rPr>
      <w:t>5</w:t>
    </w:r>
    <w:r w:rsidRPr="00EB0947">
      <w:rPr>
        <w:rFonts w:cs="Arial"/>
        <w:b/>
        <w:lang w:val="en-US"/>
      </w:rPr>
      <w:t>:00 PM</w:t>
    </w:r>
  </w:p>
  <w:p w:rsidR="00CB06BB" w:rsidRPr="00B24A93" w:rsidRDefault="00CB06BB" w:rsidP="00B24A93">
    <w:pPr>
      <w:pStyle w:val="ListParagraph"/>
      <w:spacing w:after="0" w:line="240" w:lineRule="auto"/>
      <w:jc w:val="center"/>
      <w:rPr>
        <w:rFonts w:cs="Arial"/>
        <w:b/>
        <w:lang w:val="en-US"/>
      </w:rPr>
    </w:pPr>
    <w:r>
      <w:rPr>
        <w:rFonts w:cs="Arial"/>
        <w:b/>
        <w:lang w:val="en-US"/>
      </w:rPr>
      <w:t>Manansala Ballroom, 2</w:t>
    </w:r>
    <w:r w:rsidRPr="00B24A93">
      <w:rPr>
        <w:rFonts w:cs="Arial"/>
        <w:b/>
        <w:vertAlign w:val="superscript"/>
        <w:lang w:val="en-US"/>
      </w:rPr>
      <w:t>nd</w:t>
    </w:r>
    <w:r>
      <w:rPr>
        <w:rFonts w:cs="Arial"/>
        <w:b/>
        <w:lang w:val="en-US"/>
      </w:rPr>
      <w:t xml:space="preserve"> Floor, Sulo Riviera Hotel, Matalino St., Diliman, Quezon City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B" w:rsidRDefault="00CB06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B" w:rsidRDefault="00CB06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B" w:rsidRDefault="00CB06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6BB" w:rsidRDefault="00CB0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F05"/>
    <w:multiLevelType w:val="hybridMultilevel"/>
    <w:tmpl w:val="B1B4C44A"/>
    <w:lvl w:ilvl="0" w:tplc="D6A8972A">
      <w:start w:val="1"/>
      <w:numFmt w:val="decimal"/>
      <w:lvlText w:val="%1."/>
      <w:lvlJc w:val="left"/>
      <w:pPr>
        <w:tabs>
          <w:tab w:val="num" w:pos="720"/>
        </w:tabs>
        <w:ind w:left="720" w:hanging="360"/>
      </w:pPr>
    </w:lvl>
    <w:lvl w:ilvl="1" w:tplc="AE4ACA8A">
      <w:start w:val="1"/>
      <w:numFmt w:val="decimal"/>
      <w:lvlText w:val="%2."/>
      <w:lvlJc w:val="left"/>
      <w:pPr>
        <w:tabs>
          <w:tab w:val="num" w:pos="1440"/>
        </w:tabs>
        <w:ind w:left="1440" w:hanging="360"/>
      </w:pPr>
    </w:lvl>
    <w:lvl w:ilvl="2" w:tplc="B88EB77E" w:tentative="1">
      <w:start w:val="1"/>
      <w:numFmt w:val="decimal"/>
      <w:lvlText w:val="%3."/>
      <w:lvlJc w:val="left"/>
      <w:pPr>
        <w:tabs>
          <w:tab w:val="num" w:pos="2160"/>
        </w:tabs>
        <w:ind w:left="2160" w:hanging="360"/>
      </w:pPr>
    </w:lvl>
    <w:lvl w:ilvl="3" w:tplc="133C36E6" w:tentative="1">
      <w:start w:val="1"/>
      <w:numFmt w:val="decimal"/>
      <w:lvlText w:val="%4."/>
      <w:lvlJc w:val="left"/>
      <w:pPr>
        <w:tabs>
          <w:tab w:val="num" w:pos="2880"/>
        </w:tabs>
        <w:ind w:left="2880" w:hanging="360"/>
      </w:pPr>
    </w:lvl>
    <w:lvl w:ilvl="4" w:tplc="68CCE5C0" w:tentative="1">
      <w:start w:val="1"/>
      <w:numFmt w:val="decimal"/>
      <w:lvlText w:val="%5."/>
      <w:lvlJc w:val="left"/>
      <w:pPr>
        <w:tabs>
          <w:tab w:val="num" w:pos="3600"/>
        </w:tabs>
        <w:ind w:left="3600" w:hanging="360"/>
      </w:pPr>
    </w:lvl>
    <w:lvl w:ilvl="5" w:tplc="77BA943C" w:tentative="1">
      <w:start w:val="1"/>
      <w:numFmt w:val="decimal"/>
      <w:lvlText w:val="%6."/>
      <w:lvlJc w:val="left"/>
      <w:pPr>
        <w:tabs>
          <w:tab w:val="num" w:pos="4320"/>
        </w:tabs>
        <w:ind w:left="4320" w:hanging="360"/>
      </w:pPr>
    </w:lvl>
    <w:lvl w:ilvl="6" w:tplc="50704588" w:tentative="1">
      <w:start w:val="1"/>
      <w:numFmt w:val="decimal"/>
      <w:lvlText w:val="%7."/>
      <w:lvlJc w:val="left"/>
      <w:pPr>
        <w:tabs>
          <w:tab w:val="num" w:pos="5040"/>
        </w:tabs>
        <w:ind w:left="5040" w:hanging="360"/>
      </w:pPr>
    </w:lvl>
    <w:lvl w:ilvl="7" w:tplc="E5FC9866" w:tentative="1">
      <w:start w:val="1"/>
      <w:numFmt w:val="decimal"/>
      <w:lvlText w:val="%8."/>
      <w:lvlJc w:val="left"/>
      <w:pPr>
        <w:tabs>
          <w:tab w:val="num" w:pos="5760"/>
        </w:tabs>
        <w:ind w:left="5760" w:hanging="360"/>
      </w:pPr>
    </w:lvl>
    <w:lvl w:ilvl="8" w:tplc="10480FA0" w:tentative="1">
      <w:start w:val="1"/>
      <w:numFmt w:val="decimal"/>
      <w:lvlText w:val="%9."/>
      <w:lvlJc w:val="left"/>
      <w:pPr>
        <w:tabs>
          <w:tab w:val="num" w:pos="6480"/>
        </w:tabs>
        <w:ind w:left="6480" w:hanging="360"/>
      </w:pPr>
    </w:lvl>
  </w:abstractNum>
  <w:abstractNum w:abstractNumId="1">
    <w:nsid w:val="017E6A83"/>
    <w:multiLevelType w:val="hybridMultilevel"/>
    <w:tmpl w:val="3D5696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F71A3"/>
    <w:multiLevelType w:val="hybridMultilevel"/>
    <w:tmpl w:val="044C0F4A"/>
    <w:lvl w:ilvl="0" w:tplc="2CA631EE">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4E1228"/>
    <w:multiLevelType w:val="hybridMultilevel"/>
    <w:tmpl w:val="A0989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5753E"/>
    <w:multiLevelType w:val="hybridMultilevel"/>
    <w:tmpl w:val="48E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E4F35"/>
    <w:multiLevelType w:val="hybridMultilevel"/>
    <w:tmpl w:val="CD7A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5495B"/>
    <w:multiLevelType w:val="hybridMultilevel"/>
    <w:tmpl w:val="0C125BD0"/>
    <w:lvl w:ilvl="0" w:tplc="A88200A2">
      <w:start w:val="1"/>
      <w:numFmt w:val="decimal"/>
      <w:lvlText w:val="%1."/>
      <w:lvlJc w:val="left"/>
      <w:pPr>
        <w:ind w:left="720" w:hanging="360"/>
      </w:pPr>
      <w:rPr>
        <w:rFonts w:cs="Arial"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E1429"/>
    <w:multiLevelType w:val="hybridMultilevel"/>
    <w:tmpl w:val="58564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CC0397"/>
    <w:multiLevelType w:val="hybridMultilevel"/>
    <w:tmpl w:val="E680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D7A5E"/>
    <w:multiLevelType w:val="hybridMultilevel"/>
    <w:tmpl w:val="AAB21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9435D3C"/>
    <w:multiLevelType w:val="hybridMultilevel"/>
    <w:tmpl w:val="FCA02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3098D"/>
    <w:multiLevelType w:val="hybridMultilevel"/>
    <w:tmpl w:val="430ED822"/>
    <w:lvl w:ilvl="0" w:tplc="57D030A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0739F"/>
    <w:multiLevelType w:val="hybridMultilevel"/>
    <w:tmpl w:val="E5800C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4C70D8D"/>
    <w:multiLevelType w:val="hybridMultilevel"/>
    <w:tmpl w:val="6B30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627CF"/>
    <w:multiLevelType w:val="hybridMultilevel"/>
    <w:tmpl w:val="57A4C8C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nsid w:val="2E6A45DA"/>
    <w:multiLevelType w:val="hybridMultilevel"/>
    <w:tmpl w:val="130E6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DE0355"/>
    <w:multiLevelType w:val="hybridMultilevel"/>
    <w:tmpl w:val="F10E63D0"/>
    <w:lvl w:ilvl="0" w:tplc="9560EE6A">
      <w:start w:val="1"/>
      <w:numFmt w:val="decimal"/>
      <w:lvlText w:val="%1."/>
      <w:lvlJc w:val="left"/>
      <w:pPr>
        <w:tabs>
          <w:tab w:val="num" w:pos="720"/>
        </w:tabs>
        <w:ind w:left="720" w:hanging="360"/>
      </w:pPr>
    </w:lvl>
    <w:lvl w:ilvl="1" w:tplc="D94CB5D4">
      <w:start w:val="1"/>
      <w:numFmt w:val="decimal"/>
      <w:lvlText w:val="%2."/>
      <w:lvlJc w:val="left"/>
      <w:pPr>
        <w:tabs>
          <w:tab w:val="num" w:pos="1440"/>
        </w:tabs>
        <w:ind w:left="1440" w:hanging="360"/>
      </w:pPr>
    </w:lvl>
    <w:lvl w:ilvl="2" w:tplc="2F0A0588" w:tentative="1">
      <w:start w:val="1"/>
      <w:numFmt w:val="decimal"/>
      <w:lvlText w:val="%3."/>
      <w:lvlJc w:val="left"/>
      <w:pPr>
        <w:tabs>
          <w:tab w:val="num" w:pos="2160"/>
        </w:tabs>
        <w:ind w:left="2160" w:hanging="360"/>
      </w:pPr>
    </w:lvl>
    <w:lvl w:ilvl="3" w:tplc="AA063040" w:tentative="1">
      <w:start w:val="1"/>
      <w:numFmt w:val="decimal"/>
      <w:lvlText w:val="%4."/>
      <w:lvlJc w:val="left"/>
      <w:pPr>
        <w:tabs>
          <w:tab w:val="num" w:pos="2880"/>
        </w:tabs>
        <w:ind w:left="2880" w:hanging="360"/>
      </w:pPr>
    </w:lvl>
    <w:lvl w:ilvl="4" w:tplc="561243B2" w:tentative="1">
      <w:start w:val="1"/>
      <w:numFmt w:val="decimal"/>
      <w:lvlText w:val="%5."/>
      <w:lvlJc w:val="left"/>
      <w:pPr>
        <w:tabs>
          <w:tab w:val="num" w:pos="3600"/>
        </w:tabs>
        <w:ind w:left="3600" w:hanging="360"/>
      </w:pPr>
    </w:lvl>
    <w:lvl w:ilvl="5" w:tplc="892A9AC0" w:tentative="1">
      <w:start w:val="1"/>
      <w:numFmt w:val="decimal"/>
      <w:lvlText w:val="%6."/>
      <w:lvlJc w:val="left"/>
      <w:pPr>
        <w:tabs>
          <w:tab w:val="num" w:pos="4320"/>
        </w:tabs>
        <w:ind w:left="4320" w:hanging="360"/>
      </w:pPr>
    </w:lvl>
    <w:lvl w:ilvl="6" w:tplc="51802B56" w:tentative="1">
      <w:start w:val="1"/>
      <w:numFmt w:val="decimal"/>
      <w:lvlText w:val="%7."/>
      <w:lvlJc w:val="left"/>
      <w:pPr>
        <w:tabs>
          <w:tab w:val="num" w:pos="5040"/>
        </w:tabs>
        <w:ind w:left="5040" w:hanging="360"/>
      </w:pPr>
    </w:lvl>
    <w:lvl w:ilvl="7" w:tplc="107CC902" w:tentative="1">
      <w:start w:val="1"/>
      <w:numFmt w:val="decimal"/>
      <w:lvlText w:val="%8."/>
      <w:lvlJc w:val="left"/>
      <w:pPr>
        <w:tabs>
          <w:tab w:val="num" w:pos="5760"/>
        </w:tabs>
        <w:ind w:left="5760" w:hanging="360"/>
      </w:pPr>
    </w:lvl>
    <w:lvl w:ilvl="8" w:tplc="E9CA857C" w:tentative="1">
      <w:start w:val="1"/>
      <w:numFmt w:val="decimal"/>
      <w:lvlText w:val="%9."/>
      <w:lvlJc w:val="left"/>
      <w:pPr>
        <w:tabs>
          <w:tab w:val="num" w:pos="6480"/>
        </w:tabs>
        <w:ind w:left="6480" w:hanging="360"/>
      </w:pPr>
    </w:lvl>
  </w:abstractNum>
  <w:abstractNum w:abstractNumId="17">
    <w:nsid w:val="34462A2D"/>
    <w:multiLevelType w:val="multilevel"/>
    <w:tmpl w:val="2DDE2546"/>
    <w:lvl w:ilvl="0">
      <w:start w:val="1"/>
      <w:numFmt w:val="decimal"/>
      <w:lvlText w:val="%1."/>
      <w:lvlJc w:val="left"/>
      <w:pPr>
        <w:ind w:left="720" w:hanging="360"/>
      </w:pPr>
    </w:lvl>
    <w:lvl w:ilvl="1">
      <w:start w:val="3"/>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nsid w:val="3656501D"/>
    <w:multiLevelType w:val="hybridMultilevel"/>
    <w:tmpl w:val="66ECD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5634B"/>
    <w:multiLevelType w:val="hybridMultilevel"/>
    <w:tmpl w:val="07E06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9C4689"/>
    <w:multiLevelType w:val="hybridMultilevel"/>
    <w:tmpl w:val="7FEAB972"/>
    <w:lvl w:ilvl="0" w:tplc="9170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05CCA"/>
    <w:multiLevelType w:val="hybridMultilevel"/>
    <w:tmpl w:val="E0781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427A81"/>
    <w:multiLevelType w:val="hybridMultilevel"/>
    <w:tmpl w:val="4DECDD80"/>
    <w:lvl w:ilvl="0" w:tplc="34090001">
      <w:start w:val="1"/>
      <w:numFmt w:val="bullet"/>
      <w:lvlText w:val=""/>
      <w:lvlJc w:val="left"/>
      <w:pPr>
        <w:ind w:left="720" w:hanging="360"/>
      </w:pPr>
      <w:rPr>
        <w:rFonts w:ascii="Symbol" w:hAnsi="Symbol" w:hint="default"/>
      </w:rPr>
    </w:lvl>
    <w:lvl w:ilvl="1" w:tplc="42AC183E">
      <w:start w:val="1"/>
      <w:numFmt w:val="bullet"/>
      <w:lvlText w:val="-"/>
      <w:lvlJc w:val="left"/>
      <w:pPr>
        <w:ind w:left="1440" w:hanging="360"/>
      </w:pPr>
      <w:rPr>
        <w:rFonts w:ascii="Trebuchet MS" w:hAnsi="Trebuchet M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721361"/>
    <w:multiLevelType w:val="hybridMultilevel"/>
    <w:tmpl w:val="A4D61D3C"/>
    <w:lvl w:ilvl="0" w:tplc="0D1EA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EF21C8"/>
    <w:multiLevelType w:val="hybridMultilevel"/>
    <w:tmpl w:val="366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F25D85"/>
    <w:multiLevelType w:val="hybridMultilevel"/>
    <w:tmpl w:val="9D7C1D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4FE12D28"/>
    <w:multiLevelType w:val="hybridMultilevel"/>
    <w:tmpl w:val="39E0AC88"/>
    <w:lvl w:ilvl="0" w:tplc="9170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01ABA"/>
    <w:multiLevelType w:val="hybridMultilevel"/>
    <w:tmpl w:val="37DE896A"/>
    <w:lvl w:ilvl="0" w:tplc="3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55C7C"/>
    <w:multiLevelType w:val="hybridMultilevel"/>
    <w:tmpl w:val="A9A8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4505D8"/>
    <w:multiLevelType w:val="hybridMultilevel"/>
    <w:tmpl w:val="18283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446A9C"/>
    <w:multiLevelType w:val="hybridMultilevel"/>
    <w:tmpl w:val="41E0C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57D030AE">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704F1D"/>
    <w:multiLevelType w:val="hybridMultilevel"/>
    <w:tmpl w:val="29EC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E48DC"/>
    <w:multiLevelType w:val="hybridMultilevel"/>
    <w:tmpl w:val="AF92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6B7372"/>
    <w:multiLevelType w:val="hybridMultilevel"/>
    <w:tmpl w:val="EC6E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DA53DD"/>
    <w:multiLevelType w:val="hybridMultilevel"/>
    <w:tmpl w:val="2E62E0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45C4198"/>
    <w:multiLevelType w:val="hybridMultilevel"/>
    <w:tmpl w:val="252697DE"/>
    <w:lvl w:ilvl="0" w:tplc="3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42AC183E">
      <w:start w:val="1"/>
      <w:numFmt w:val="bullet"/>
      <w:lvlText w:val="-"/>
      <w:lvlJc w:val="left"/>
      <w:pPr>
        <w:ind w:left="1800" w:hanging="360"/>
      </w:pPr>
      <w:rPr>
        <w:rFonts w:ascii="Trebuchet MS" w:hAnsi="Trebuchet M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7E8579B"/>
    <w:multiLevelType w:val="hybridMultilevel"/>
    <w:tmpl w:val="4B348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8383DEC"/>
    <w:multiLevelType w:val="hybridMultilevel"/>
    <w:tmpl w:val="6C44E290"/>
    <w:lvl w:ilvl="0" w:tplc="2EC0C28E">
      <w:start w:val="1"/>
      <w:numFmt w:val="decimal"/>
      <w:lvlText w:val="%1."/>
      <w:lvlJc w:val="left"/>
      <w:pPr>
        <w:tabs>
          <w:tab w:val="num" w:pos="720"/>
        </w:tabs>
        <w:ind w:left="720" w:hanging="360"/>
      </w:pPr>
    </w:lvl>
    <w:lvl w:ilvl="1" w:tplc="75A4B25A">
      <w:start w:val="1"/>
      <w:numFmt w:val="decimal"/>
      <w:lvlText w:val="%2."/>
      <w:lvlJc w:val="left"/>
      <w:pPr>
        <w:tabs>
          <w:tab w:val="num" w:pos="1440"/>
        </w:tabs>
        <w:ind w:left="1440" w:hanging="360"/>
      </w:pPr>
    </w:lvl>
    <w:lvl w:ilvl="2" w:tplc="B5B8E284" w:tentative="1">
      <w:start w:val="1"/>
      <w:numFmt w:val="decimal"/>
      <w:lvlText w:val="%3."/>
      <w:lvlJc w:val="left"/>
      <w:pPr>
        <w:tabs>
          <w:tab w:val="num" w:pos="2160"/>
        </w:tabs>
        <w:ind w:left="2160" w:hanging="360"/>
      </w:pPr>
    </w:lvl>
    <w:lvl w:ilvl="3" w:tplc="8892B696" w:tentative="1">
      <w:start w:val="1"/>
      <w:numFmt w:val="decimal"/>
      <w:lvlText w:val="%4."/>
      <w:lvlJc w:val="left"/>
      <w:pPr>
        <w:tabs>
          <w:tab w:val="num" w:pos="2880"/>
        </w:tabs>
        <w:ind w:left="2880" w:hanging="360"/>
      </w:pPr>
    </w:lvl>
    <w:lvl w:ilvl="4" w:tplc="3E4A0990" w:tentative="1">
      <w:start w:val="1"/>
      <w:numFmt w:val="decimal"/>
      <w:lvlText w:val="%5."/>
      <w:lvlJc w:val="left"/>
      <w:pPr>
        <w:tabs>
          <w:tab w:val="num" w:pos="3600"/>
        </w:tabs>
        <w:ind w:left="3600" w:hanging="360"/>
      </w:pPr>
    </w:lvl>
    <w:lvl w:ilvl="5" w:tplc="3252E54A" w:tentative="1">
      <w:start w:val="1"/>
      <w:numFmt w:val="decimal"/>
      <w:lvlText w:val="%6."/>
      <w:lvlJc w:val="left"/>
      <w:pPr>
        <w:tabs>
          <w:tab w:val="num" w:pos="4320"/>
        </w:tabs>
        <w:ind w:left="4320" w:hanging="360"/>
      </w:pPr>
    </w:lvl>
    <w:lvl w:ilvl="6" w:tplc="C360AE12" w:tentative="1">
      <w:start w:val="1"/>
      <w:numFmt w:val="decimal"/>
      <w:lvlText w:val="%7."/>
      <w:lvlJc w:val="left"/>
      <w:pPr>
        <w:tabs>
          <w:tab w:val="num" w:pos="5040"/>
        </w:tabs>
        <w:ind w:left="5040" w:hanging="360"/>
      </w:pPr>
    </w:lvl>
    <w:lvl w:ilvl="7" w:tplc="6F48805C" w:tentative="1">
      <w:start w:val="1"/>
      <w:numFmt w:val="decimal"/>
      <w:lvlText w:val="%8."/>
      <w:lvlJc w:val="left"/>
      <w:pPr>
        <w:tabs>
          <w:tab w:val="num" w:pos="5760"/>
        </w:tabs>
        <w:ind w:left="5760" w:hanging="360"/>
      </w:pPr>
    </w:lvl>
    <w:lvl w:ilvl="8" w:tplc="F28EE2BE" w:tentative="1">
      <w:start w:val="1"/>
      <w:numFmt w:val="decimal"/>
      <w:lvlText w:val="%9."/>
      <w:lvlJc w:val="left"/>
      <w:pPr>
        <w:tabs>
          <w:tab w:val="num" w:pos="6480"/>
        </w:tabs>
        <w:ind w:left="6480" w:hanging="360"/>
      </w:pPr>
    </w:lvl>
  </w:abstractNum>
  <w:abstractNum w:abstractNumId="38">
    <w:nsid w:val="7B4A18B6"/>
    <w:multiLevelType w:val="hybridMultilevel"/>
    <w:tmpl w:val="56624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B913B51"/>
    <w:multiLevelType w:val="multilevel"/>
    <w:tmpl w:val="CB9819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8"/>
  </w:num>
  <w:num w:numId="3">
    <w:abstractNumId w:val="17"/>
  </w:num>
  <w:num w:numId="4">
    <w:abstractNumId w:val="26"/>
  </w:num>
  <w:num w:numId="5">
    <w:abstractNumId w:val="20"/>
  </w:num>
  <w:num w:numId="6">
    <w:abstractNumId w:val="14"/>
  </w:num>
  <w:num w:numId="7">
    <w:abstractNumId w:val="25"/>
  </w:num>
  <w:num w:numId="8">
    <w:abstractNumId w:val="29"/>
  </w:num>
  <w:num w:numId="9">
    <w:abstractNumId w:val="31"/>
  </w:num>
  <w:num w:numId="10">
    <w:abstractNumId w:val="5"/>
  </w:num>
  <w:num w:numId="11">
    <w:abstractNumId w:val="22"/>
  </w:num>
  <w:num w:numId="12">
    <w:abstractNumId w:val="27"/>
  </w:num>
  <w:num w:numId="13">
    <w:abstractNumId w:val="35"/>
  </w:num>
  <w:num w:numId="14">
    <w:abstractNumId w:val="32"/>
  </w:num>
  <w:num w:numId="15">
    <w:abstractNumId w:val="33"/>
  </w:num>
  <w:num w:numId="16">
    <w:abstractNumId w:val="34"/>
  </w:num>
  <w:num w:numId="17">
    <w:abstractNumId w:val="18"/>
  </w:num>
  <w:num w:numId="18">
    <w:abstractNumId w:val="10"/>
  </w:num>
  <w:num w:numId="19">
    <w:abstractNumId w:val="30"/>
  </w:num>
  <w:num w:numId="20">
    <w:abstractNumId w:val="12"/>
  </w:num>
  <w:num w:numId="21">
    <w:abstractNumId w:val="11"/>
  </w:num>
  <w:num w:numId="22">
    <w:abstractNumId w:val="4"/>
  </w:num>
  <w:num w:numId="23">
    <w:abstractNumId w:val="3"/>
  </w:num>
  <w:num w:numId="24">
    <w:abstractNumId w:val="7"/>
  </w:num>
  <w:num w:numId="25">
    <w:abstractNumId w:val="39"/>
  </w:num>
  <w:num w:numId="26">
    <w:abstractNumId w:val="36"/>
  </w:num>
  <w:num w:numId="27">
    <w:abstractNumId w:val="37"/>
  </w:num>
  <w:num w:numId="28">
    <w:abstractNumId w:val="16"/>
  </w:num>
  <w:num w:numId="29">
    <w:abstractNumId w:val="0"/>
  </w:num>
  <w:num w:numId="30">
    <w:abstractNumId w:val="6"/>
  </w:num>
  <w:num w:numId="31">
    <w:abstractNumId w:val="9"/>
  </w:num>
  <w:num w:numId="32">
    <w:abstractNumId w:val="15"/>
  </w:num>
  <w:num w:numId="33">
    <w:abstractNumId w:val="19"/>
  </w:num>
  <w:num w:numId="34">
    <w:abstractNumId w:val="24"/>
  </w:num>
  <w:num w:numId="35">
    <w:abstractNumId w:val="38"/>
  </w:num>
  <w:num w:numId="36">
    <w:abstractNumId w:val="21"/>
  </w:num>
  <w:num w:numId="37">
    <w:abstractNumId w:val="13"/>
  </w:num>
  <w:num w:numId="38">
    <w:abstractNumId w:val="1"/>
  </w:num>
  <w:num w:numId="39">
    <w:abstractNumId w:val="23"/>
  </w:num>
  <w:num w:numId="40">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93"/>
    <w:rsid w:val="00003B85"/>
    <w:rsid w:val="0000468C"/>
    <w:rsid w:val="00011B84"/>
    <w:rsid w:val="00021551"/>
    <w:rsid w:val="00034D85"/>
    <w:rsid w:val="00070A9C"/>
    <w:rsid w:val="000722C4"/>
    <w:rsid w:val="00072675"/>
    <w:rsid w:val="00075325"/>
    <w:rsid w:val="00075AAF"/>
    <w:rsid w:val="000850AD"/>
    <w:rsid w:val="00090C39"/>
    <w:rsid w:val="00090ED3"/>
    <w:rsid w:val="000A0DE7"/>
    <w:rsid w:val="000B6307"/>
    <w:rsid w:val="000B7227"/>
    <w:rsid w:val="000C12D2"/>
    <w:rsid w:val="000C7A86"/>
    <w:rsid w:val="000E069C"/>
    <w:rsid w:val="000E3A31"/>
    <w:rsid w:val="000F45F3"/>
    <w:rsid w:val="00115317"/>
    <w:rsid w:val="00147A8F"/>
    <w:rsid w:val="00154A6C"/>
    <w:rsid w:val="0016635C"/>
    <w:rsid w:val="00184E75"/>
    <w:rsid w:val="001A04CE"/>
    <w:rsid w:val="001D2C8A"/>
    <w:rsid w:val="001E7CBA"/>
    <w:rsid w:val="001F1C4E"/>
    <w:rsid w:val="00223C95"/>
    <w:rsid w:val="00245DFC"/>
    <w:rsid w:val="00260BE1"/>
    <w:rsid w:val="002A55C7"/>
    <w:rsid w:val="002A5ED7"/>
    <w:rsid w:val="002D6AD8"/>
    <w:rsid w:val="002D6FBC"/>
    <w:rsid w:val="0030166E"/>
    <w:rsid w:val="00313809"/>
    <w:rsid w:val="003264FB"/>
    <w:rsid w:val="00337B45"/>
    <w:rsid w:val="00340066"/>
    <w:rsid w:val="0036426D"/>
    <w:rsid w:val="003775B7"/>
    <w:rsid w:val="00377F05"/>
    <w:rsid w:val="00384095"/>
    <w:rsid w:val="003A38E6"/>
    <w:rsid w:val="003A76C2"/>
    <w:rsid w:val="003B253D"/>
    <w:rsid w:val="003E101B"/>
    <w:rsid w:val="00452127"/>
    <w:rsid w:val="00475601"/>
    <w:rsid w:val="004776D6"/>
    <w:rsid w:val="004C5023"/>
    <w:rsid w:val="00501EDA"/>
    <w:rsid w:val="00532CED"/>
    <w:rsid w:val="005335F0"/>
    <w:rsid w:val="00534840"/>
    <w:rsid w:val="00535176"/>
    <w:rsid w:val="00545F70"/>
    <w:rsid w:val="00546A9F"/>
    <w:rsid w:val="00550B99"/>
    <w:rsid w:val="00553E40"/>
    <w:rsid w:val="005616A4"/>
    <w:rsid w:val="00563A95"/>
    <w:rsid w:val="00584200"/>
    <w:rsid w:val="00586B9B"/>
    <w:rsid w:val="005A1152"/>
    <w:rsid w:val="005A6C14"/>
    <w:rsid w:val="005B06CB"/>
    <w:rsid w:val="005B12B0"/>
    <w:rsid w:val="005D6D3C"/>
    <w:rsid w:val="005E5119"/>
    <w:rsid w:val="005E54C7"/>
    <w:rsid w:val="005F5117"/>
    <w:rsid w:val="00607C1A"/>
    <w:rsid w:val="00614953"/>
    <w:rsid w:val="006278A1"/>
    <w:rsid w:val="006373BB"/>
    <w:rsid w:val="00675512"/>
    <w:rsid w:val="006923EB"/>
    <w:rsid w:val="00694B94"/>
    <w:rsid w:val="00695CEA"/>
    <w:rsid w:val="006B60D5"/>
    <w:rsid w:val="006C1781"/>
    <w:rsid w:val="006D5A30"/>
    <w:rsid w:val="00706F04"/>
    <w:rsid w:val="00707111"/>
    <w:rsid w:val="00707769"/>
    <w:rsid w:val="00717CDF"/>
    <w:rsid w:val="00722AE5"/>
    <w:rsid w:val="00724826"/>
    <w:rsid w:val="00771753"/>
    <w:rsid w:val="007758F1"/>
    <w:rsid w:val="007804BA"/>
    <w:rsid w:val="007823EE"/>
    <w:rsid w:val="007871EB"/>
    <w:rsid w:val="007933E2"/>
    <w:rsid w:val="007940A8"/>
    <w:rsid w:val="007C25A3"/>
    <w:rsid w:val="007E1C11"/>
    <w:rsid w:val="007F4188"/>
    <w:rsid w:val="007F68AB"/>
    <w:rsid w:val="008027DC"/>
    <w:rsid w:val="008044C4"/>
    <w:rsid w:val="00816640"/>
    <w:rsid w:val="00825679"/>
    <w:rsid w:val="008310D3"/>
    <w:rsid w:val="0084264E"/>
    <w:rsid w:val="008604B0"/>
    <w:rsid w:val="008615FC"/>
    <w:rsid w:val="0087050D"/>
    <w:rsid w:val="008763A8"/>
    <w:rsid w:val="008962CD"/>
    <w:rsid w:val="008B21DB"/>
    <w:rsid w:val="008B53BE"/>
    <w:rsid w:val="008C0861"/>
    <w:rsid w:val="008C7630"/>
    <w:rsid w:val="008D0A27"/>
    <w:rsid w:val="008D0B57"/>
    <w:rsid w:val="008E11C6"/>
    <w:rsid w:val="0091542A"/>
    <w:rsid w:val="009270C8"/>
    <w:rsid w:val="00955F92"/>
    <w:rsid w:val="00957230"/>
    <w:rsid w:val="00973A2F"/>
    <w:rsid w:val="0098365E"/>
    <w:rsid w:val="00986869"/>
    <w:rsid w:val="00987336"/>
    <w:rsid w:val="009A5D16"/>
    <w:rsid w:val="009B50D0"/>
    <w:rsid w:val="009D0427"/>
    <w:rsid w:val="009D1EDC"/>
    <w:rsid w:val="009D3010"/>
    <w:rsid w:val="009D3161"/>
    <w:rsid w:val="009D3C68"/>
    <w:rsid w:val="009E3FE1"/>
    <w:rsid w:val="009F2C51"/>
    <w:rsid w:val="00A07A0B"/>
    <w:rsid w:val="00A10062"/>
    <w:rsid w:val="00A11962"/>
    <w:rsid w:val="00A55EC2"/>
    <w:rsid w:val="00A5656D"/>
    <w:rsid w:val="00A5726E"/>
    <w:rsid w:val="00A65E17"/>
    <w:rsid w:val="00A7309F"/>
    <w:rsid w:val="00A84C59"/>
    <w:rsid w:val="00A90073"/>
    <w:rsid w:val="00AA072A"/>
    <w:rsid w:val="00AA27CE"/>
    <w:rsid w:val="00AA6102"/>
    <w:rsid w:val="00AC7C59"/>
    <w:rsid w:val="00AD0956"/>
    <w:rsid w:val="00AD3143"/>
    <w:rsid w:val="00AD5736"/>
    <w:rsid w:val="00AE3CD0"/>
    <w:rsid w:val="00AF1A5E"/>
    <w:rsid w:val="00AF56E8"/>
    <w:rsid w:val="00B2396A"/>
    <w:rsid w:val="00B24A93"/>
    <w:rsid w:val="00B26769"/>
    <w:rsid w:val="00B27D0B"/>
    <w:rsid w:val="00B6554D"/>
    <w:rsid w:val="00B6615C"/>
    <w:rsid w:val="00BA79C3"/>
    <w:rsid w:val="00BB2A4C"/>
    <w:rsid w:val="00BC4704"/>
    <w:rsid w:val="00BC7DC7"/>
    <w:rsid w:val="00BD1C60"/>
    <w:rsid w:val="00BE3356"/>
    <w:rsid w:val="00BE3BFC"/>
    <w:rsid w:val="00BE617C"/>
    <w:rsid w:val="00BF0DB2"/>
    <w:rsid w:val="00C108DC"/>
    <w:rsid w:val="00C14403"/>
    <w:rsid w:val="00C24277"/>
    <w:rsid w:val="00C27981"/>
    <w:rsid w:val="00C41DDD"/>
    <w:rsid w:val="00C50855"/>
    <w:rsid w:val="00C526B6"/>
    <w:rsid w:val="00C53D27"/>
    <w:rsid w:val="00C725B5"/>
    <w:rsid w:val="00C922C8"/>
    <w:rsid w:val="00C95A3C"/>
    <w:rsid w:val="00CA2167"/>
    <w:rsid w:val="00CA23F9"/>
    <w:rsid w:val="00CB06BB"/>
    <w:rsid w:val="00CC15DA"/>
    <w:rsid w:val="00CD49BA"/>
    <w:rsid w:val="00CF4577"/>
    <w:rsid w:val="00CF7AC7"/>
    <w:rsid w:val="00D2279F"/>
    <w:rsid w:val="00D5688E"/>
    <w:rsid w:val="00D623CE"/>
    <w:rsid w:val="00D6242C"/>
    <w:rsid w:val="00D7226A"/>
    <w:rsid w:val="00D74CB4"/>
    <w:rsid w:val="00D84456"/>
    <w:rsid w:val="00D86EF5"/>
    <w:rsid w:val="00D90CDB"/>
    <w:rsid w:val="00DA2149"/>
    <w:rsid w:val="00DC4A71"/>
    <w:rsid w:val="00DC7E56"/>
    <w:rsid w:val="00DD1BDD"/>
    <w:rsid w:val="00DF05E1"/>
    <w:rsid w:val="00DF6B5B"/>
    <w:rsid w:val="00E07596"/>
    <w:rsid w:val="00E147D7"/>
    <w:rsid w:val="00E420C3"/>
    <w:rsid w:val="00E46A59"/>
    <w:rsid w:val="00E63E80"/>
    <w:rsid w:val="00E66129"/>
    <w:rsid w:val="00E71D81"/>
    <w:rsid w:val="00E86B08"/>
    <w:rsid w:val="00E953E6"/>
    <w:rsid w:val="00EA23C1"/>
    <w:rsid w:val="00EA7545"/>
    <w:rsid w:val="00EC4767"/>
    <w:rsid w:val="00EE591D"/>
    <w:rsid w:val="00EF067B"/>
    <w:rsid w:val="00F30105"/>
    <w:rsid w:val="00F45C8A"/>
    <w:rsid w:val="00F46A6A"/>
    <w:rsid w:val="00F5124C"/>
    <w:rsid w:val="00F72932"/>
    <w:rsid w:val="00F91C04"/>
    <w:rsid w:val="00F955D4"/>
    <w:rsid w:val="00FB27FD"/>
    <w:rsid w:val="00FC7F72"/>
    <w:rsid w:val="00FE0BD5"/>
    <w:rsid w:val="00FE1938"/>
    <w:rsid w:val="00FE57A0"/>
    <w:rsid w:val="00FF3746"/>
    <w:rsid w:val="00FF433E"/>
    <w:rsid w:val="00FF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93"/>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93"/>
    <w:pPr>
      <w:ind w:left="720"/>
      <w:contextualSpacing/>
    </w:pPr>
  </w:style>
  <w:style w:type="paragraph" w:styleId="Header">
    <w:name w:val="header"/>
    <w:basedOn w:val="Normal"/>
    <w:link w:val="HeaderChar"/>
    <w:uiPriority w:val="99"/>
    <w:unhideWhenUsed/>
    <w:rsid w:val="00B2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93"/>
    <w:rPr>
      <w:lang w:val="en-PH"/>
    </w:rPr>
  </w:style>
  <w:style w:type="paragraph" w:styleId="Footer">
    <w:name w:val="footer"/>
    <w:basedOn w:val="Normal"/>
    <w:link w:val="FooterChar"/>
    <w:uiPriority w:val="99"/>
    <w:unhideWhenUsed/>
    <w:rsid w:val="00B2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A93"/>
    <w:rPr>
      <w:lang w:val="en-PH"/>
    </w:rPr>
  </w:style>
  <w:style w:type="character" w:styleId="LineNumber">
    <w:name w:val="line number"/>
    <w:basedOn w:val="DefaultParagraphFont"/>
    <w:uiPriority w:val="99"/>
    <w:semiHidden/>
    <w:unhideWhenUsed/>
    <w:rsid w:val="007758F1"/>
  </w:style>
  <w:style w:type="table" w:styleId="TableGrid">
    <w:name w:val="Table Grid"/>
    <w:basedOn w:val="TableNormal"/>
    <w:uiPriority w:val="59"/>
    <w:rsid w:val="00C41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48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826"/>
    <w:rPr>
      <w:sz w:val="20"/>
      <w:szCs w:val="20"/>
      <w:lang w:val="en-PH"/>
    </w:rPr>
  </w:style>
  <w:style w:type="character" w:styleId="EndnoteReference">
    <w:name w:val="endnote reference"/>
    <w:basedOn w:val="DefaultParagraphFont"/>
    <w:uiPriority w:val="99"/>
    <w:semiHidden/>
    <w:unhideWhenUsed/>
    <w:rsid w:val="00724826"/>
    <w:rPr>
      <w:vertAlign w:val="superscript"/>
    </w:rPr>
  </w:style>
  <w:style w:type="paragraph" w:styleId="FootnoteText">
    <w:name w:val="footnote text"/>
    <w:basedOn w:val="Normal"/>
    <w:link w:val="FootnoteTextChar"/>
    <w:uiPriority w:val="99"/>
    <w:semiHidden/>
    <w:unhideWhenUsed/>
    <w:rsid w:val="00724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826"/>
    <w:rPr>
      <w:sz w:val="20"/>
      <w:szCs w:val="20"/>
      <w:lang w:val="en-PH"/>
    </w:rPr>
  </w:style>
  <w:style w:type="character" w:styleId="FootnoteReference">
    <w:name w:val="footnote reference"/>
    <w:basedOn w:val="DefaultParagraphFont"/>
    <w:uiPriority w:val="99"/>
    <w:semiHidden/>
    <w:unhideWhenUsed/>
    <w:rsid w:val="007248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A93"/>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93"/>
    <w:pPr>
      <w:ind w:left="720"/>
      <w:contextualSpacing/>
    </w:pPr>
  </w:style>
  <w:style w:type="paragraph" w:styleId="Header">
    <w:name w:val="header"/>
    <w:basedOn w:val="Normal"/>
    <w:link w:val="HeaderChar"/>
    <w:uiPriority w:val="99"/>
    <w:unhideWhenUsed/>
    <w:rsid w:val="00B2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93"/>
    <w:rPr>
      <w:lang w:val="en-PH"/>
    </w:rPr>
  </w:style>
  <w:style w:type="paragraph" w:styleId="Footer">
    <w:name w:val="footer"/>
    <w:basedOn w:val="Normal"/>
    <w:link w:val="FooterChar"/>
    <w:uiPriority w:val="99"/>
    <w:unhideWhenUsed/>
    <w:rsid w:val="00B2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A93"/>
    <w:rPr>
      <w:lang w:val="en-PH"/>
    </w:rPr>
  </w:style>
  <w:style w:type="character" w:styleId="LineNumber">
    <w:name w:val="line number"/>
    <w:basedOn w:val="DefaultParagraphFont"/>
    <w:uiPriority w:val="99"/>
    <w:semiHidden/>
    <w:unhideWhenUsed/>
    <w:rsid w:val="007758F1"/>
  </w:style>
  <w:style w:type="table" w:styleId="TableGrid">
    <w:name w:val="Table Grid"/>
    <w:basedOn w:val="TableNormal"/>
    <w:uiPriority w:val="59"/>
    <w:rsid w:val="00C41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48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826"/>
    <w:rPr>
      <w:sz w:val="20"/>
      <w:szCs w:val="20"/>
      <w:lang w:val="en-PH"/>
    </w:rPr>
  </w:style>
  <w:style w:type="character" w:styleId="EndnoteReference">
    <w:name w:val="endnote reference"/>
    <w:basedOn w:val="DefaultParagraphFont"/>
    <w:uiPriority w:val="99"/>
    <w:semiHidden/>
    <w:unhideWhenUsed/>
    <w:rsid w:val="00724826"/>
    <w:rPr>
      <w:vertAlign w:val="superscript"/>
    </w:rPr>
  </w:style>
  <w:style w:type="paragraph" w:styleId="FootnoteText">
    <w:name w:val="footnote text"/>
    <w:basedOn w:val="Normal"/>
    <w:link w:val="FootnoteTextChar"/>
    <w:uiPriority w:val="99"/>
    <w:semiHidden/>
    <w:unhideWhenUsed/>
    <w:rsid w:val="00724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826"/>
    <w:rPr>
      <w:sz w:val="20"/>
      <w:szCs w:val="20"/>
      <w:lang w:val="en-PH"/>
    </w:rPr>
  </w:style>
  <w:style w:type="character" w:styleId="FootnoteReference">
    <w:name w:val="footnote reference"/>
    <w:basedOn w:val="DefaultParagraphFont"/>
    <w:uiPriority w:val="99"/>
    <w:semiHidden/>
    <w:unhideWhenUsed/>
    <w:rsid w:val="00724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7849">
      <w:bodyDiv w:val="1"/>
      <w:marLeft w:val="0"/>
      <w:marRight w:val="0"/>
      <w:marTop w:val="0"/>
      <w:marBottom w:val="0"/>
      <w:divBdr>
        <w:top w:val="none" w:sz="0" w:space="0" w:color="auto"/>
        <w:left w:val="none" w:sz="0" w:space="0" w:color="auto"/>
        <w:bottom w:val="none" w:sz="0" w:space="0" w:color="auto"/>
        <w:right w:val="none" w:sz="0" w:space="0" w:color="auto"/>
      </w:divBdr>
      <w:divsChild>
        <w:div w:id="330640363">
          <w:marLeft w:val="806"/>
          <w:marRight w:val="0"/>
          <w:marTop w:val="115"/>
          <w:marBottom w:val="0"/>
          <w:divBdr>
            <w:top w:val="none" w:sz="0" w:space="0" w:color="auto"/>
            <w:left w:val="none" w:sz="0" w:space="0" w:color="auto"/>
            <w:bottom w:val="none" w:sz="0" w:space="0" w:color="auto"/>
            <w:right w:val="none" w:sz="0" w:space="0" w:color="auto"/>
          </w:divBdr>
        </w:div>
        <w:div w:id="91436376">
          <w:marLeft w:val="806"/>
          <w:marRight w:val="0"/>
          <w:marTop w:val="115"/>
          <w:marBottom w:val="0"/>
          <w:divBdr>
            <w:top w:val="none" w:sz="0" w:space="0" w:color="auto"/>
            <w:left w:val="none" w:sz="0" w:space="0" w:color="auto"/>
            <w:bottom w:val="none" w:sz="0" w:space="0" w:color="auto"/>
            <w:right w:val="none" w:sz="0" w:space="0" w:color="auto"/>
          </w:divBdr>
        </w:div>
        <w:div w:id="1561399420">
          <w:marLeft w:val="806"/>
          <w:marRight w:val="0"/>
          <w:marTop w:val="115"/>
          <w:marBottom w:val="0"/>
          <w:divBdr>
            <w:top w:val="none" w:sz="0" w:space="0" w:color="auto"/>
            <w:left w:val="none" w:sz="0" w:space="0" w:color="auto"/>
            <w:bottom w:val="none" w:sz="0" w:space="0" w:color="auto"/>
            <w:right w:val="none" w:sz="0" w:space="0" w:color="auto"/>
          </w:divBdr>
        </w:div>
        <w:div w:id="902638549">
          <w:marLeft w:val="806"/>
          <w:marRight w:val="0"/>
          <w:marTop w:val="115"/>
          <w:marBottom w:val="0"/>
          <w:divBdr>
            <w:top w:val="none" w:sz="0" w:space="0" w:color="auto"/>
            <w:left w:val="none" w:sz="0" w:space="0" w:color="auto"/>
            <w:bottom w:val="none" w:sz="0" w:space="0" w:color="auto"/>
            <w:right w:val="none" w:sz="0" w:space="0" w:color="auto"/>
          </w:divBdr>
        </w:div>
      </w:divsChild>
    </w:div>
    <w:div w:id="676343706">
      <w:bodyDiv w:val="1"/>
      <w:marLeft w:val="0"/>
      <w:marRight w:val="0"/>
      <w:marTop w:val="0"/>
      <w:marBottom w:val="0"/>
      <w:divBdr>
        <w:top w:val="none" w:sz="0" w:space="0" w:color="auto"/>
        <w:left w:val="none" w:sz="0" w:space="0" w:color="auto"/>
        <w:bottom w:val="none" w:sz="0" w:space="0" w:color="auto"/>
        <w:right w:val="none" w:sz="0" w:space="0" w:color="auto"/>
      </w:divBdr>
    </w:div>
    <w:div w:id="965425004">
      <w:bodyDiv w:val="1"/>
      <w:marLeft w:val="0"/>
      <w:marRight w:val="0"/>
      <w:marTop w:val="0"/>
      <w:marBottom w:val="0"/>
      <w:divBdr>
        <w:top w:val="none" w:sz="0" w:space="0" w:color="auto"/>
        <w:left w:val="none" w:sz="0" w:space="0" w:color="auto"/>
        <w:bottom w:val="none" w:sz="0" w:space="0" w:color="auto"/>
        <w:right w:val="none" w:sz="0" w:space="0" w:color="auto"/>
      </w:divBdr>
      <w:divsChild>
        <w:div w:id="1379237770">
          <w:marLeft w:val="1440"/>
          <w:marRight w:val="0"/>
          <w:marTop w:val="0"/>
          <w:marBottom w:val="0"/>
          <w:divBdr>
            <w:top w:val="none" w:sz="0" w:space="0" w:color="auto"/>
            <w:left w:val="none" w:sz="0" w:space="0" w:color="auto"/>
            <w:bottom w:val="none" w:sz="0" w:space="0" w:color="auto"/>
            <w:right w:val="none" w:sz="0" w:space="0" w:color="auto"/>
          </w:divBdr>
        </w:div>
        <w:div w:id="806625158">
          <w:marLeft w:val="1440"/>
          <w:marRight w:val="0"/>
          <w:marTop w:val="0"/>
          <w:marBottom w:val="0"/>
          <w:divBdr>
            <w:top w:val="none" w:sz="0" w:space="0" w:color="auto"/>
            <w:left w:val="none" w:sz="0" w:space="0" w:color="auto"/>
            <w:bottom w:val="none" w:sz="0" w:space="0" w:color="auto"/>
            <w:right w:val="none" w:sz="0" w:space="0" w:color="auto"/>
          </w:divBdr>
        </w:div>
        <w:div w:id="1117258840">
          <w:marLeft w:val="1440"/>
          <w:marRight w:val="0"/>
          <w:marTop w:val="0"/>
          <w:marBottom w:val="0"/>
          <w:divBdr>
            <w:top w:val="none" w:sz="0" w:space="0" w:color="auto"/>
            <w:left w:val="none" w:sz="0" w:space="0" w:color="auto"/>
            <w:bottom w:val="none" w:sz="0" w:space="0" w:color="auto"/>
            <w:right w:val="none" w:sz="0" w:space="0" w:color="auto"/>
          </w:divBdr>
        </w:div>
        <w:div w:id="907301266">
          <w:marLeft w:val="1440"/>
          <w:marRight w:val="0"/>
          <w:marTop w:val="0"/>
          <w:marBottom w:val="0"/>
          <w:divBdr>
            <w:top w:val="none" w:sz="0" w:space="0" w:color="auto"/>
            <w:left w:val="none" w:sz="0" w:space="0" w:color="auto"/>
            <w:bottom w:val="none" w:sz="0" w:space="0" w:color="auto"/>
            <w:right w:val="none" w:sz="0" w:space="0" w:color="auto"/>
          </w:divBdr>
        </w:div>
        <w:div w:id="936720455">
          <w:marLeft w:val="1440"/>
          <w:marRight w:val="0"/>
          <w:marTop w:val="0"/>
          <w:marBottom w:val="0"/>
          <w:divBdr>
            <w:top w:val="none" w:sz="0" w:space="0" w:color="auto"/>
            <w:left w:val="none" w:sz="0" w:space="0" w:color="auto"/>
            <w:bottom w:val="none" w:sz="0" w:space="0" w:color="auto"/>
            <w:right w:val="none" w:sz="0" w:space="0" w:color="auto"/>
          </w:divBdr>
        </w:div>
        <w:div w:id="1471169568">
          <w:marLeft w:val="1440"/>
          <w:marRight w:val="0"/>
          <w:marTop w:val="0"/>
          <w:marBottom w:val="0"/>
          <w:divBdr>
            <w:top w:val="none" w:sz="0" w:space="0" w:color="auto"/>
            <w:left w:val="none" w:sz="0" w:space="0" w:color="auto"/>
            <w:bottom w:val="none" w:sz="0" w:space="0" w:color="auto"/>
            <w:right w:val="none" w:sz="0" w:space="0" w:color="auto"/>
          </w:divBdr>
        </w:div>
        <w:div w:id="1088040411">
          <w:marLeft w:val="1440"/>
          <w:marRight w:val="0"/>
          <w:marTop w:val="0"/>
          <w:marBottom w:val="0"/>
          <w:divBdr>
            <w:top w:val="none" w:sz="0" w:space="0" w:color="auto"/>
            <w:left w:val="none" w:sz="0" w:space="0" w:color="auto"/>
            <w:bottom w:val="none" w:sz="0" w:space="0" w:color="auto"/>
            <w:right w:val="none" w:sz="0" w:space="0" w:color="auto"/>
          </w:divBdr>
        </w:div>
        <w:div w:id="1041513658">
          <w:marLeft w:val="1440"/>
          <w:marRight w:val="0"/>
          <w:marTop w:val="0"/>
          <w:marBottom w:val="0"/>
          <w:divBdr>
            <w:top w:val="none" w:sz="0" w:space="0" w:color="auto"/>
            <w:left w:val="none" w:sz="0" w:space="0" w:color="auto"/>
            <w:bottom w:val="none" w:sz="0" w:space="0" w:color="auto"/>
            <w:right w:val="none" w:sz="0" w:space="0" w:color="auto"/>
          </w:divBdr>
        </w:div>
        <w:div w:id="1495605821">
          <w:marLeft w:val="1440"/>
          <w:marRight w:val="0"/>
          <w:marTop w:val="0"/>
          <w:marBottom w:val="0"/>
          <w:divBdr>
            <w:top w:val="none" w:sz="0" w:space="0" w:color="auto"/>
            <w:left w:val="none" w:sz="0" w:space="0" w:color="auto"/>
            <w:bottom w:val="none" w:sz="0" w:space="0" w:color="auto"/>
            <w:right w:val="none" w:sz="0" w:space="0" w:color="auto"/>
          </w:divBdr>
        </w:div>
        <w:div w:id="611784471">
          <w:marLeft w:val="1440"/>
          <w:marRight w:val="0"/>
          <w:marTop w:val="0"/>
          <w:marBottom w:val="0"/>
          <w:divBdr>
            <w:top w:val="none" w:sz="0" w:space="0" w:color="auto"/>
            <w:left w:val="none" w:sz="0" w:space="0" w:color="auto"/>
            <w:bottom w:val="none" w:sz="0" w:space="0" w:color="auto"/>
            <w:right w:val="none" w:sz="0" w:space="0" w:color="auto"/>
          </w:divBdr>
        </w:div>
        <w:div w:id="43859816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386A-2F3C-4A1A-B926-270FB340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CFG-OMO-Karen</dc:creator>
  <cp:lastModifiedBy>CFG</cp:lastModifiedBy>
  <cp:revision>2</cp:revision>
  <dcterms:created xsi:type="dcterms:W3CDTF">2015-12-03T08:22:00Z</dcterms:created>
  <dcterms:modified xsi:type="dcterms:W3CDTF">2015-12-03T08:22:00Z</dcterms:modified>
</cp:coreProperties>
</file>